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43"/>
        <w:tblW w:w="10548" w:type="dxa"/>
        <w:tblLook w:val="01E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Pr="0007659A" w:rsidRDefault="0007659A" w:rsidP="008E625D">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 xml:space="preserve">Inspectoratul </w:t>
            </w:r>
            <w:r w:rsidR="008E625D">
              <w:rPr>
                <w:rFonts w:ascii="Times New Roman" w:hAnsi="Times New Roman" w:cs="Times New Roman"/>
                <w:b/>
                <w:caps/>
                <w:sz w:val="20"/>
                <w:szCs w:val="20"/>
              </w:rPr>
              <w:t>DE POLIȚIE JUDEȚEAN _______</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Bucureşti</w:t>
            </w:r>
          </w:p>
          <w:p w:rsidR="0007659A" w:rsidRPr="0007659A" w:rsidRDefault="0007659A" w:rsidP="0007659A">
            <w:pPr>
              <w:jc w:val="center"/>
              <w:rPr>
                <w:rFonts w:ascii="Times New Roman" w:hAnsi="Times New Roman" w:cs="Times New Roman"/>
                <w:b/>
                <w:sz w:val="20"/>
                <w:szCs w:val="20"/>
              </w:rPr>
            </w:pP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w:t>
      </w:r>
      <w:r w:rsidRPr="007358A3">
        <w:rPr>
          <w:rFonts w:ascii="Times New Roman" w:eastAsia="Times New Roman" w:hAnsi="Times New Roman" w:cs="Times New Roman"/>
          <w:sz w:val="24"/>
          <w:szCs w:val="24"/>
          <w:lang w:val="en-GB"/>
        </w:rPr>
        <w:lastRenderedPageBreak/>
        <w:t>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bookmarkStart w:id="0" w:name="_GoBack"/>
      <w:bookmarkEnd w:id="0"/>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A7441E"/>
    <w:rsid w:val="00055D4A"/>
    <w:rsid w:val="0007659A"/>
    <w:rsid w:val="000F2E02"/>
    <w:rsid w:val="0012280D"/>
    <w:rsid w:val="001A132D"/>
    <w:rsid w:val="003E627F"/>
    <w:rsid w:val="007358A3"/>
    <w:rsid w:val="00880947"/>
    <w:rsid w:val="008E625D"/>
    <w:rsid w:val="00A139AA"/>
    <w:rsid w:val="00A7441E"/>
    <w:rsid w:val="00E9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nichitus_felicia</cp:lastModifiedBy>
  <cp:revision>9</cp:revision>
  <dcterms:created xsi:type="dcterms:W3CDTF">2020-12-17T12:56:00Z</dcterms:created>
  <dcterms:modified xsi:type="dcterms:W3CDTF">2021-09-10T10:39:00Z</dcterms:modified>
</cp:coreProperties>
</file>