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90"/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1C06D1" w:rsidRPr="001C06D1" w:rsidTr="00B941A6">
        <w:tc>
          <w:tcPr>
            <w:tcW w:w="5745" w:type="dxa"/>
            <w:shd w:val="clear" w:color="auto" w:fill="auto"/>
          </w:tcPr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B941A6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99585B" w:rsidRPr="009C2544" w:rsidRDefault="00E4202F" w:rsidP="008C79A7">
            <w:pPr>
              <w:jc w:val="center"/>
              <w:rPr>
                <w:b/>
              </w:rPr>
            </w:pPr>
            <w:r w:rsidRPr="009C2544">
              <w:rPr>
                <w:b/>
              </w:rPr>
              <w:t xml:space="preserve"> </w:t>
            </w:r>
            <w:r w:rsidR="001C06D1" w:rsidRPr="009C2544">
              <w:rPr>
                <w:b/>
              </w:rPr>
              <w:t xml:space="preserve"> </w:t>
            </w:r>
            <w:r w:rsidRPr="009C2544">
              <w:rPr>
                <w:b/>
              </w:rPr>
              <w:t xml:space="preserve">  Nr. </w:t>
            </w:r>
            <w:r w:rsidR="009D6CBE">
              <w:rPr>
                <w:b/>
              </w:rPr>
              <w:t>166914/27.06.2023</w:t>
            </w:r>
          </w:p>
        </w:tc>
      </w:tr>
    </w:tbl>
    <w:p w:rsidR="006952D7" w:rsidRDefault="009C2544" w:rsidP="006952D7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 xml:space="preserve">                APROB</w:t>
      </w:r>
    </w:p>
    <w:p w:rsidR="006952D7" w:rsidRPr="006952D7" w:rsidRDefault="006952D7" w:rsidP="006952D7">
      <w:pPr>
        <w:pStyle w:val="NoSpacing"/>
        <w:rPr>
          <w:rFonts w:eastAsiaTheme="minorHAnsi"/>
          <w:b/>
          <w:noProof/>
          <w:lang w:val="en-US" w:eastAsia="en-US"/>
        </w:rPr>
      </w:pPr>
      <w:r w:rsidRPr="006952D7">
        <w:rPr>
          <w:rFonts w:eastAsiaTheme="minorHAnsi"/>
          <w:b/>
          <w:noProof/>
          <w:lang w:val="en-US" w:eastAsia="en-US"/>
        </w:rPr>
        <w:t xml:space="preserve">                                                                             </w:t>
      </w:r>
      <w:r w:rsidR="009C2544">
        <w:rPr>
          <w:rFonts w:eastAsiaTheme="minorHAnsi"/>
          <w:b/>
          <w:noProof/>
          <w:lang w:val="en-US" w:eastAsia="en-US"/>
        </w:rPr>
        <w:t xml:space="preserve">            </w:t>
      </w:r>
      <w:r w:rsidRPr="006952D7">
        <w:rPr>
          <w:rFonts w:eastAsiaTheme="minorHAnsi"/>
          <w:b/>
          <w:noProof/>
          <w:lang w:val="en-US" w:eastAsia="en-US"/>
        </w:rPr>
        <w:t xml:space="preserve"> </w:t>
      </w:r>
      <w:r w:rsidR="009C2544">
        <w:rPr>
          <w:rFonts w:eastAsiaTheme="minorHAnsi"/>
          <w:b/>
          <w:noProof/>
          <w:lang w:val="en-US" w:eastAsia="en-US"/>
        </w:rPr>
        <w:t xml:space="preserve">       </w:t>
      </w:r>
      <w:r w:rsidRPr="006952D7">
        <w:rPr>
          <w:rFonts w:eastAsiaTheme="minorHAnsi"/>
          <w:b/>
          <w:noProof/>
          <w:lang w:val="en-US" w:eastAsia="en-US"/>
        </w:rPr>
        <w:t>POSTAREA PE INTERNET</w:t>
      </w:r>
    </w:p>
    <w:p w:rsidR="006952D7" w:rsidRPr="006952D7" w:rsidRDefault="006952D7" w:rsidP="006952D7">
      <w:pPr>
        <w:pStyle w:val="NoSpacing"/>
        <w:rPr>
          <w:rFonts w:eastAsiaTheme="minorHAnsi"/>
          <w:b/>
          <w:noProof/>
          <w:lang w:val="en-US" w:eastAsia="en-US"/>
        </w:rPr>
      </w:pPr>
      <w:r w:rsidRPr="006952D7">
        <w:rPr>
          <w:rFonts w:eastAsiaTheme="minorHAnsi"/>
          <w:b/>
          <w:noProof/>
          <w:lang w:val="en-US" w:eastAsia="en-US"/>
        </w:rPr>
        <w:t xml:space="preserve">                                            </w:t>
      </w:r>
      <w:r w:rsidR="006F5F02">
        <w:rPr>
          <w:rFonts w:eastAsiaTheme="minorHAnsi"/>
          <w:b/>
          <w:noProof/>
          <w:lang w:val="en-US" w:eastAsia="en-US"/>
        </w:rPr>
        <w:t xml:space="preserve">                               </w:t>
      </w:r>
      <w:r w:rsidR="009C2544">
        <w:rPr>
          <w:rFonts w:eastAsiaTheme="minorHAnsi"/>
          <w:b/>
          <w:noProof/>
          <w:lang w:val="en-US" w:eastAsia="en-US"/>
        </w:rPr>
        <w:t xml:space="preserve">                   </w:t>
      </w:r>
      <w:r w:rsidR="006F5F02">
        <w:rPr>
          <w:rFonts w:eastAsiaTheme="minorHAnsi"/>
          <w:b/>
          <w:noProof/>
          <w:lang w:val="en-US" w:eastAsia="en-US"/>
        </w:rPr>
        <w:t>D</w:t>
      </w:r>
      <w:r w:rsidRPr="006952D7">
        <w:rPr>
          <w:rFonts w:eastAsiaTheme="minorHAnsi"/>
          <w:b/>
          <w:noProof/>
          <w:lang w:val="en-US" w:eastAsia="en-US"/>
        </w:rPr>
        <w:t>/ȘEFUL INSPECTORATULUI</w:t>
      </w:r>
    </w:p>
    <w:p w:rsidR="006952D7" w:rsidRDefault="006952D7" w:rsidP="006952D7">
      <w:pPr>
        <w:spacing w:after="160"/>
        <w:jc w:val="both"/>
        <w:rPr>
          <w:rFonts w:eastAsiaTheme="minorHAnsi"/>
          <w:i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 w:rsidR="009C2544">
        <w:rPr>
          <w:rFonts w:eastAsiaTheme="minorHAnsi"/>
          <w:b/>
          <w:noProof/>
          <w:lang w:val="en-US" w:eastAsia="en-US"/>
        </w:rPr>
        <w:t xml:space="preserve">                   </w:t>
      </w:r>
      <w:r>
        <w:rPr>
          <w:rFonts w:eastAsiaTheme="minorHAnsi"/>
          <w:i/>
          <w:noProof/>
          <w:lang w:val="en-US" w:eastAsia="en-US"/>
        </w:rPr>
        <w:t>Comisar-șef de poliție</w:t>
      </w:r>
    </w:p>
    <w:p w:rsidR="006952D7" w:rsidRDefault="006F5F02" w:rsidP="008C79A7">
      <w:pPr>
        <w:spacing w:after="160"/>
        <w:jc w:val="both"/>
        <w:rPr>
          <w:rFonts w:eastAsiaTheme="minorHAnsi"/>
          <w:b/>
          <w:noProof/>
          <w:sz w:val="28"/>
          <w:szCs w:val="28"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  <w:t xml:space="preserve">                </w:t>
      </w:r>
      <w:r w:rsidR="006952D7">
        <w:rPr>
          <w:rFonts w:eastAsiaTheme="minorHAnsi"/>
          <w:b/>
          <w:noProof/>
          <w:lang w:val="en-US" w:eastAsia="en-US"/>
        </w:rPr>
        <w:t xml:space="preserve">   </w:t>
      </w:r>
      <w:r w:rsidR="009C2544">
        <w:rPr>
          <w:rFonts w:eastAsiaTheme="minorHAnsi"/>
          <w:b/>
          <w:noProof/>
          <w:lang w:val="en-US" w:eastAsia="en-US"/>
        </w:rPr>
        <w:t xml:space="preserve">                   </w:t>
      </w:r>
      <w:r>
        <w:rPr>
          <w:rFonts w:eastAsiaTheme="minorHAnsi"/>
          <w:b/>
          <w:noProof/>
          <w:lang w:val="en-US" w:eastAsia="en-US"/>
        </w:rPr>
        <w:t>DUMITRAȘCU PETRONEL</w:t>
      </w:r>
      <w:r w:rsidR="006952D7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</w:t>
      </w:r>
      <w:r w:rsidR="008C79A7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</w:t>
      </w:r>
      <w:r w:rsidR="006952D7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</w:t>
      </w:r>
    </w:p>
    <w:p w:rsidR="006952D7" w:rsidRDefault="007A7C45" w:rsidP="006952D7">
      <w:pPr>
        <w:pStyle w:val="Heading2"/>
        <w:rPr>
          <w:rFonts w:ascii="Times New Roman" w:hAnsi="Times New Roman"/>
          <w:szCs w:val="28"/>
          <w:lang w:val="ro-RO"/>
        </w:rPr>
      </w:pPr>
      <w:r>
        <w:rPr>
          <w:rFonts w:ascii="Times New Roman" w:hAnsi="Times New Roman"/>
          <w:szCs w:val="28"/>
          <w:lang w:val="ro-RO"/>
        </w:rPr>
        <w:t>ANUNȚ</w:t>
      </w:r>
    </w:p>
    <w:p w:rsidR="000F6B5E" w:rsidRPr="007A7C45" w:rsidRDefault="000F6B5E" w:rsidP="000F6B5E">
      <w:pPr>
        <w:pStyle w:val="BodyText3"/>
        <w:rPr>
          <w:rFonts w:ascii="Times New Roman" w:hAnsi="Times New Roman"/>
          <w:sz w:val="27"/>
          <w:szCs w:val="27"/>
        </w:rPr>
      </w:pPr>
      <w:r w:rsidRPr="007A7C45">
        <w:rPr>
          <w:rFonts w:ascii="Times New Roman" w:hAnsi="Times New Roman"/>
          <w:sz w:val="27"/>
          <w:szCs w:val="27"/>
          <w:lang w:val="ro-RO"/>
        </w:rPr>
        <w:t xml:space="preserve">cu rezultatele obținute la </w:t>
      </w:r>
      <w:r w:rsidR="00CF51DA">
        <w:rPr>
          <w:rFonts w:ascii="Times New Roman" w:hAnsi="Times New Roman"/>
          <w:sz w:val="27"/>
          <w:szCs w:val="27"/>
          <w:lang w:val="ro-RO"/>
        </w:rPr>
        <w:t xml:space="preserve">proba interviu a </w:t>
      </w:r>
      <w:r w:rsidRPr="007A7C45">
        <w:rPr>
          <w:rFonts w:ascii="Times New Roman" w:hAnsi="Times New Roman"/>
          <w:sz w:val="27"/>
          <w:szCs w:val="27"/>
          <w:lang w:val="ro-RO"/>
        </w:rPr>
        <w:t>concursul</w:t>
      </w:r>
      <w:r w:rsidR="00CF51DA">
        <w:rPr>
          <w:rFonts w:ascii="Times New Roman" w:hAnsi="Times New Roman"/>
          <w:sz w:val="27"/>
          <w:szCs w:val="27"/>
          <w:lang w:val="ro-RO"/>
        </w:rPr>
        <w:t>ui</w:t>
      </w:r>
      <w:r w:rsidRPr="007A7C45">
        <w:rPr>
          <w:rFonts w:ascii="Times New Roman" w:hAnsi="Times New Roman"/>
          <w:sz w:val="27"/>
          <w:szCs w:val="27"/>
          <w:lang w:val="ro-RO"/>
        </w:rPr>
        <w:t xml:space="preserve"> organizat pentru ocuparea </w:t>
      </w:r>
      <w:proofErr w:type="spellStart"/>
      <w:r w:rsidRPr="007A7C45">
        <w:rPr>
          <w:rFonts w:ascii="Times New Roman" w:hAnsi="Times New Roman"/>
          <w:sz w:val="27"/>
          <w:szCs w:val="27"/>
        </w:rPr>
        <w:t>postului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7A7C45">
        <w:rPr>
          <w:rFonts w:ascii="Times New Roman" w:hAnsi="Times New Roman"/>
          <w:sz w:val="27"/>
          <w:szCs w:val="27"/>
        </w:rPr>
        <w:t>conducere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vacant de </w:t>
      </w:r>
      <w:proofErr w:type="spellStart"/>
      <w:r w:rsidRPr="007A7C45">
        <w:rPr>
          <w:rFonts w:ascii="Times New Roman" w:hAnsi="Times New Roman"/>
          <w:sz w:val="27"/>
          <w:szCs w:val="27"/>
        </w:rPr>
        <w:t>șef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C79A7">
        <w:rPr>
          <w:rFonts w:ascii="Times New Roman" w:hAnsi="Times New Roman"/>
          <w:sz w:val="27"/>
          <w:szCs w:val="27"/>
        </w:rPr>
        <w:t>serviciu</w:t>
      </w:r>
      <w:proofErr w:type="spellEnd"/>
      <w:r w:rsidR="008C79A7">
        <w:rPr>
          <w:rFonts w:ascii="Times New Roman" w:hAnsi="Times New Roman"/>
          <w:sz w:val="27"/>
          <w:szCs w:val="27"/>
        </w:rPr>
        <w:t xml:space="preserve"> la </w:t>
      </w:r>
      <w:proofErr w:type="spellStart"/>
      <w:r w:rsidR="008C79A7">
        <w:rPr>
          <w:rFonts w:ascii="Times New Roman" w:hAnsi="Times New Roman"/>
          <w:sz w:val="27"/>
          <w:szCs w:val="27"/>
        </w:rPr>
        <w:t>Serviciul</w:t>
      </w:r>
      <w:proofErr w:type="spellEnd"/>
      <w:r w:rsidR="008C79A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8C79A7">
        <w:rPr>
          <w:rFonts w:ascii="Times New Roman" w:hAnsi="Times New Roman"/>
          <w:sz w:val="27"/>
          <w:szCs w:val="27"/>
        </w:rPr>
        <w:t>Acțiuni</w:t>
      </w:r>
      <w:proofErr w:type="spellEnd"/>
      <w:r w:rsidR="008C79A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C79A7">
        <w:rPr>
          <w:rFonts w:ascii="Times New Roman" w:hAnsi="Times New Roman"/>
          <w:sz w:val="27"/>
          <w:szCs w:val="27"/>
        </w:rPr>
        <w:t>Speciale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Pr="007A7C45">
        <w:rPr>
          <w:rFonts w:ascii="Times New Roman" w:hAnsi="Times New Roman"/>
          <w:sz w:val="27"/>
          <w:szCs w:val="27"/>
        </w:rPr>
        <w:t>cadrul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A7C45">
        <w:rPr>
          <w:rFonts w:ascii="Times New Roman" w:hAnsi="Times New Roman"/>
          <w:sz w:val="27"/>
          <w:szCs w:val="27"/>
        </w:rPr>
        <w:t>Inspectoratul</w:t>
      </w:r>
      <w:r w:rsidR="00267491">
        <w:rPr>
          <w:rFonts w:ascii="Times New Roman" w:hAnsi="Times New Roman"/>
          <w:sz w:val="27"/>
          <w:szCs w:val="27"/>
        </w:rPr>
        <w:t>ui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7A7C45">
        <w:rPr>
          <w:rFonts w:ascii="Times New Roman" w:hAnsi="Times New Roman"/>
          <w:sz w:val="27"/>
          <w:szCs w:val="27"/>
        </w:rPr>
        <w:t>Poliție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A7C45">
        <w:rPr>
          <w:rFonts w:ascii="Times New Roman" w:hAnsi="Times New Roman"/>
          <w:sz w:val="27"/>
          <w:szCs w:val="27"/>
        </w:rPr>
        <w:t>Județean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A7C45">
        <w:rPr>
          <w:rFonts w:ascii="Times New Roman" w:hAnsi="Times New Roman"/>
          <w:sz w:val="27"/>
          <w:szCs w:val="27"/>
        </w:rPr>
        <w:t>Călărași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7A7C45">
        <w:rPr>
          <w:rFonts w:ascii="Times New Roman" w:hAnsi="Times New Roman"/>
          <w:sz w:val="27"/>
          <w:szCs w:val="27"/>
        </w:rPr>
        <w:t>poziția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</w:t>
      </w:r>
      <w:r w:rsidR="00267491">
        <w:rPr>
          <w:rFonts w:ascii="Times New Roman" w:hAnsi="Times New Roman"/>
          <w:sz w:val="27"/>
          <w:szCs w:val="27"/>
        </w:rPr>
        <w:t>0</w:t>
      </w:r>
      <w:r w:rsidR="008C79A7">
        <w:rPr>
          <w:rFonts w:ascii="Times New Roman" w:hAnsi="Times New Roman"/>
          <w:sz w:val="27"/>
          <w:szCs w:val="27"/>
        </w:rPr>
        <w:t>136</w:t>
      </w:r>
      <w:r w:rsidRPr="007A7C45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Pr="007A7C45">
        <w:rPr>
          <w:rFonts w:ascii="Times New Roman" w:hAnsi="Times New Roman"/>
          <w:sz w:val="27"/>
          <w:szCs w:val="27"/>
        </w:rPr>
        <w:t>statul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7A7C45">
        <w:rPr>
          <w:rFonts w:ascii="Times New Roman" w:hAnsi="Times New Roman"/>
          <w:sz w:val="27"/>
          <w:szCs w:val="27"/>
        </w:rPr>
        <w:t>organizare</w:t>
      </w:r>
      <w:proofErr w:type="spellEnd"/>
      <w:r w:rsidRPr="007A7C45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Pr="007A7C45">
        <w:rPr>
          <w:rFonts w:ascii="Times New Roman" w:hAnsi="Times New Roman"/>
          <w:sz w:val="27"/>
          <w:szCs w:val="27"/>
        </w:rPr>
        <w:t>unității</w:t>
      </w:r>
      <w:proofErr w:type="spellEnd"/>
    </w:p>
    <w:p w:rsidR="000F6B5E" w:rsidRDefault="000F6B5E" w:rsidP="000F6B5E">
      <w:pPr>
        <w:pStyle w:val="BodyText3"/>
        <w:rPr>
          <w:sz w:val="16"/>
          <w:szCs w:val="16"/>
        </w:rPr>
      </w:pP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3067"/>
        <w:gridCol w:w="1985"/>
        <w:gridCol w:w="2409"/>
        <w:gridCol w:w="1418"/>
      </w:tblGrid>
      <w:tr w:rsidR="000F6B5E" w:rsidTr="007A7C45">
        <w:trPr>
          <w:cantSplit/>
          <w:trHeight w:val="9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Nr.</w:t>
            </w:r>
          </w:p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Crt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</w:p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Codul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candidatului</w:t>
            </w:r>
            <w:proofErr w:type="spellEnd"/>
          </w:p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5E" w:rsidRDefault="000F6B5E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Nota </w:t>
            </w:r>
            <w:proofErr w:type="spellStart"/>
            <w:r>
              <w:rPr>
                <w:b/>
                <w:lang w:val="en-US" w:eastAsia="en-US"/>
              </w:rPr>
              <w:t>finală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Poziția</w:t>
            </w:r>
            <w:proofErr w:type="spellEnd"/>
            <w:r>
              <w:rPr>
                <w:lang w:val="en-US" w:eastAsia="en-US"/>
              </w:rPr>
              <w:t xml:space="preserve"> din </w:t>
            </w:r>
            <w:proofErr w:type="spellStart"/>
            <w:r>
              <w:rPr>
                <w:lang w:val="en-US" w:eastAsia="en-US"/>
              </w:rPr>
              <w:t>statul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organizare</w:t>
            </w:r>
            <w:proofErr w:type="spellEnd"/>
            <w:r>
              <w:rPr>
                <w:lang w:val="en-US" w:eastAsia="en-US"/>
              </w:rPr>
              <w:t xml:space="preserve"> al </w:t>
            </w:r>
            <w:proofErr w:type="spellStart"/>
            <w:r>
              <w:rPr>
                <w:lang w:val="en-US" w:eastAsia="en-US"/>
              </w:rPr>
              <w:t>unității</w:t>
            </w:r>
            <w:proofErr w:type="spellEnd"/>
            <w:r>
              <w:rPr>
                <w:lang w:val="en-US" w:eastAsia="en-US"/>
              </w:rPr>
              <w:t xml:space="preserve">, a </w:t>
            </w:r>
            <w:proofErr w:type="spellStart"/>
            <w:r>
              <w:rPr>
                <w:lang w:val="en-US" w:eastAsia="en-US"/>
              </w:rPr>
              <w:t>postului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pentru</w:t>
            </w:r>
            <w:proofErr w:type="spellEnd"/>
            <w:r>
              <w:rPr>
                <w:lang w:val="en-US" w:eastAsia="en-US"/>
              </w:rPr>
              <w:t xml:space="preserve"> care </w:t>
            </w:r>
            <w:proofErr w:type="spellStart"/>
            <w:r>
              <w:rPr>
                <w:lang w:val="en-US" w:eastAsia="en-US"/>
              </w:rPr>
              <w:t>candidează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Observații</w:t>
            </w:r>
            <w:proofErr w:type="spellEnd"/>
            <w:r>
              <w:rPr>
                <w:lang w:val="en-US" w:eastAsia="en-US"/>
              </w:rPr>
              <w:t>*</w:t>
            </w:r>
          </w:p>
        </w:tc>
      </w:tr>
      <w:tr w:rsidR="000F6B5E" w:rsidTr="007A7C45">
        <w:trPr>
          <w:trHeight w:val="51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5E" w:rsidRDefault="000F6B5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5E" w:rsidRDefault="000F6B5E" w:rsidP="008C79A7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CL/</w:t>
            </w:r>
            <w:r w:rsidR="008C79A7">
              <w:rPr>
                <w:b/>
                <w:lang w:val="en-US" w:eastAsia="en-US"/>
              </w:rPr>
              <w:t>SAS</w:t>
            </w:r>
            <w:r w:rsidR="00267491">
              <w:rPr>
                <w:b/>
                <w:lang w:val="en-US" w:eastAsia="en-US"/>
              </w:rPr>
              <w:t>/166</w:t>
            </w:r>
            <w:r w:rsidR="008C79A7">
              <w:rPr>
                <w:b/>
                <w:lang w:val="en-US" w:eastAsia="en-US"/>
              </w:rPr>
              <w:t>719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E" w:rsidRPr="00B71257" w:rsidRDefault="00040B4A">
            <w:pPr>
              <w:spacing w:line="256" w:lineRule="auto"/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8,57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5E" w:rsidRPr="00B71257" w:rsidRDefault="008C79A7" w:rsidP="008C79A7">
            <w:pPr>
              <w:spacing w:line="25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0136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5E" w:rsidRPr="00B71257" w:rsidRDefault="00BD1706">
            <w:pPr>
              <w:spacing w:line="256" w:lineRule="auto"/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ADMIS</w:t>
            </w:r>
          </w:p>
        </w:tc>
      </w:tr>
      <w:tr w:rsidR="008C79A7" w:rsidTr="007A7C45">
        <w:trPr>
          <w:trHeight w:val="51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A7" w:rsidRDefault="008C79A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A7" w:rsidRDefault="008C79A7" w:rsidP="008C79A7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 w:rsidRPr="008C79A7">
              <w:rPr>
                <w:b/>
                <w:lang w:val="en-US" w:eastAsia="en-US"/>
              </w:rPr>
              <w:t>CL/SAS/1667</w:t>
            </w:r>
            <w:r>
              <w:rPr>
                <w:b/>
                <w:lang w:val="en-US" w:eastAsia="en-US"/>
              </w:rPr>
              <w:t>56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A7" w:rsidRPr="00B71257" w:rsidRDefault="00040B4A">
            <w:pPr>
              <w:spacing w:line="256" w:lineRule="auto"/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7,11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A7" w:rsidRDefault="008C79A7" w:rsidP="008C79A7">
            <w:pPr>
              <w:spacing w:line="256" w:lineRule="auto"/>
              <w:jc w:val="center"/>
              <w:rPr>
                <w:color w:val="000000" w:themeColor="text1"/>
                <w:lang w:val="en-US" w:eastAsia="en-US"/>
              </w:rPr>
            </w:pPr>
            <w:r w:rsidRPr="008C79A7">
              <w:rPr>
                <w:color w:val="000000" w:themeColor="text1"/>
                <w:lang w:val="en-US" w:eastAsia="en-US"/>
              </w:rPr>
              <w:t>0136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A7" w:rsidRPr="00B71257" w:rsidRDefault="00BD1706" w:rsidP="00BD1706">
            <w:pPr>
              <w:spacing w:line="256" w:lineRule="auto"/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RESPINS</w:t>
            </w:r>
          </w:p>
        </w:tc>
      </w:tr>
    </w:tbl>
    <w:p w:rsidR="000F6B5E" w:rsidRDefault="000F6B5E" w:rsidP="000F6B5E">
      <w:pPr>
        <w:ind w:left="1080"/>
        <w:jc w:val="both"/>
        <w:rPr>
          <w:sz w:val="16"/>
          <w:szCs w:val="16"/>
        </w:rPr>
      </w:pPr>
    </w:p>
    <w:p w:rsidR="003761F5" w:rsidRPr="007A7C45" w:rsidRDefault="000F6B5E" w:rsidP="007A7C45">
      <w:pPr>
        <w:pStyle w:val="NoSpacing"/>
        <w:spacing w:line="276" w:lineRule="auto"/>
        <w:ind w:firstLine="720"/>
        <w:jc w:val="both"/>
        <w:rPr>
          <w:sz w:val="27"/>
          <w:szCs w:val="27"/>
        </w:rPr>
      </w:pPr>
      <w:r w:rsidRPr="007A7C45">
        <w:rPr>
          <w:rFonts w:eastAsiaTheme="minorHAnsi"/>
          <w:sz w:val="27"/>
          <w:szCs w:val="27"/>
          <w:lang w:eastAsia="en-US"/>
        </w:rPr>
        <w:t>Candidatul nemulțumit de rezultatul obținut la interviul structurat pe subiecte profesionale poate formula contestație o singură dată în termen de 24 de ore de la afișare</w:t>
      </w:r>
      <w:r w:rsidR="003761F5" w:rsidRPr="007A7C45">
        <w:rPr>
          <w:rFonts w:eastAsiaTheme="minorHAnsi"/>
          <w:sz w:val="27"/>
          <w:szCs w:val="27"/>
          <w:lang w:eastAsia="en-US"/>
        </w:rPr>
        <w:t xml:space="preserve">, </w:t>
      </w:r>
      <w:r w:rsidR="00F3766E" w:rsidRPr="007A7C45">
        <w:rPr>
          <w:sz w:val="27"/>
          <w:szCs w:val="27"/>
        </w:rPr>
        <w:t>ce</w:t>
      </w:r>
      <w:r w:rsidR="003761F5" w:rsidRPr="007A7C45">
        <w:rPr>
          <w:sz w:val="27"/>
          <w:szCs w:val="27"/>
        </w:rPr>
        <w:t xml:space="preserve"> va </w:t>
      </w:r>
      <w:r w:rsidR="00F3766E" w:rsidRPr="007A7C45">
        <w:rPr>
          <w:sz w:val="27"/>
          <w:szCs w:val="27"/>
        </w:rPr>
        <w:t xml:space="preserve">fi depusă în format electronic (semnată și scanată în format electronic needitabil) la </w:t>
      </w:r>
      <w:r w:rsidR="003761F5" w:rsidRPr="007A7C45">
        <w:rPr>
          <w:sz w:val="27"/>
          <w:szCs w:val="27"/>
        </w:rPr>
        <w:t xml:space="preserve">adresa de e-mail </w:t>
      </w:r>
      <w:r w:rsidR="00F3766E" w:rsidRPr="007A7C45">
        <w:rPr>
          <w:sz w:val="27"/>
          <w:szCs w:val="27"/>
        </w:rPr>
        <w:t>a Inspectoratului de Poliție Județean Călărași – Serviciul Resurse Umane</w:t>
      </w:r>
      <w:r w:rsidR="008955B1">
        <w:rPr>
          <w:sz w:val="27"/>
          <w:szCs w:val="27"/>
        </w:rPr>
        <w:t>:</w:t>
      </w:r>
      <w:r w:rsidR="00F3766E" w:rsidRPr="007A7C45">
        <w:rPr>
          <w:sz w:val="27"/>
          <w:szCs w:val="27"/>
        </w:rPr>
        <w:t xml:space="preserve"> </w:t>
      </w:r>
      <w:hyperlink r:id="rId5" w:history="1">
        <w:r w:rsidR="003761F5" w:rsidRPr="007A7C45">
          <w:rPr>
            <w:rStyle w:val="Hyperlink"/>
            <w:rFonts w:eastAsia="Calibri"/>
            <w:sz w:val="27"/>
            <w:szCs w:val="27"/>
            <w:lang w:val="en-US"/>
          </w:rPr>
          <w:t>resurseumane@cl.politiaromana.ro</w:t>
        </w:r>
      </w:hyperlink>
      <w:r w:rsidR="003761F5" w:rsidRPr="007A7C45">
        <w:rPr>
          <w:sz w:val="27"/>
          <w:szCs w:val="27"/>
        </w:rPr>
        <w:t>.</w:t>
      </w:r>
    </w:p>
    <w:p w:rsidR="000F6B5E" w:rsidRPr="007A7C45" w:rsidRDefault="000F6B5E" w:rsidP="007A7C45">
      <w:pPr>
        <w:pStyle w:val="NoSpacing"/>
        <w:spacing w:line="276" w:lineRule="auto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7A7C45">
        <w:rPr>
          <w:rFonts w:eastAsiaTheme="minorHAnsi"/>
          <w:sz w:val="27"/>
          <w:szCs w:val="27"/>
          <w:lang w:eastAsia="en-US"/>
        </w:rPr>
        <w:t>Candidații pot contesta numai notele la propriile lucrări.</w:t>
      </w:r>
    </w:p>
    <w:p w:rsidR="00F3766E" w:rsidRPr="007A7C45" w:rsidRDefault="00F3766E" w:rsidP="007A7C45">
      <w:pPr>
        <w:pStyle w:val="NoSpacing"/>
        <w:spacing w:line="276" w:lineRule="auto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7A7C45">
        <w:rPr>
          <w:rFonts w:eastAsiaTheme="minorHAnsi"/>
          <w:sz w:val="27"/>
          <w:szCs w:val="27"/>
          <w:lang w:eastAsia="en-US"/>
        </w:rPr>
        <w:t xml:space="preserve">Rezultatul contestației se comunică candidatului prin afișare la sediul </w:t>
      </w:r>
      <w:r w:rsidRPr="007A7C45">
        <w:rPr>
          <w:sz w:val="27"/>
          <w:szCs w:val="27"/>
        </w:rPr>
        <w:t xml:space="preserve">Inspectoratului de Poliție Județean Călărași și se postează pe pagina de internet a unității </w:t>
      </w:r>
      <w:hyperlink r:id="rId6" w:history="1">
        <w:r w:rsidRPr="007A7C45">
          <w:rPr>
            <w:rStyle w:val="Hyperlink"/>
            <w:sz w:val="27"/>
            <w:szCs w:val="27"/>
          </w:rPr>
          <w:t>www.cl.politiaromana.ro/ro/carieră/posturi-scoase-la-concurs</w:t>
        </w:r>
      </w:hyperlink>
      <w:r w:rsidRPr="007A7C45">
        <w:rPr>
          <w:sz w:val="27"/>
          <w:szCs w:val="27"/>
        </w:rPr>
        <w:t xml:space="preserve">. </w:t>
      </w:r>
    </w:p>
    <w:p w:rsidR="003761F5" w:rsidRPr="007A7C45" w:rsidRDefault="000F6B5E" w:rsidP="007A7C45">
      <w:pPr>
        <w:pStyle w:val="NoSpacing"/>
        <w:spacing w:line="276" w:lineRule="auto"/>
        <w:ind w:firstLine="720"/>
        <w:jc w:val="both"/>
        <w:rPr>
          <w:sz w:val="27"/>
          <w:szCs w:val="27"/>
        </w:rPr>
      </w:pPr>
      <w:r w:rsidRPr="007A7C45">
        <w:rPr>
          <w:rFonts w:eastAsiaTheme="minorHAnsi"/>
          <w:sz w:val="27"/>
          <w:szCs w:val="27"/>
          <w:lang w:eastAsia="en-US"/>
        </w:rPr>
        <w:t>Comisia de soluționare a contestațiilor are obligația de a le soluționa în termen de 2 zile lucrătoare de la e</w:t>
      </w:r>
      <w:r w:rsidR="003761F5" w:rsidRPr="007A7C45">
        <w:rPr>
          <w:rFonts w:eastAsiaTheme="minorHAnsi"/>
          <w:sz w:val="27"/>
          <w:szCs w:val="27"/>
          <w:lang w:eastAsia="en-US"/>
        </w:rPr>
        <w:t>xpirarea termenului de depunere</w:t>
      </w:r>
      <w:r w:rsidR="003761F5" w:rsidRPr="007A7C45">
        <w:rPr>
          <w:sz w:val="27"/>
          <w:szCs w:val="27"/>
        </w:rPr>
        <w:t>.</w:t>
      </w:r>
    </w:p>
    <w:p w:rsidR="00F3766E" w:rsidRPr="007A7C45" w:rsidRDefault="00F3766E" w:rsidP="007A7C45">
      <w:pPr>
        <w:pStyle w:val="NoSpacing"/>
        <w:spacing w:line="276" w:lineRule="auto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7A7C45">
        <w:rPr>
          <w:sz w:val="27"/>
          <w:szCs w:val="27"/>
        </w:rPr>
        <w:t xml:space="preserve">Nota acordată după soluționarea contestației la interviul </w:t>
      </w:r>
      <w:r w:rsidR="007A7C45" w:rsidRPr="007A7C45">
        <w:rPr>
          <w:rFonts w:eastAsiaTheme="minorHAnsi"/>
          <w:sz w:val="27"/>
          <w:szCs w:val="27"/>
          <w:lang w:eastAsia="en-US"/>
        </w:rPr>
        <w:t>structurat pe subiecte profesionale este definitivă.</w:t>
      </w:r>
    </w:p>
    <w:p w:rsidR="00024555" w:rsidRDefault="00D62408" w:rsidP="00010B46">
      <w:pPr>
        <w:spacing w:after="160" w:line="259" w:lineRule="auto"/>
        <w:ind w:firstLine="720"/>
        <w:jc w:val="center"/>
        <w:rPr>
          <w:b/>
          <w:i/>
        </w:rPr>
      </w:pPr>
      <w:r w:rsidRPr="00F27CDE">
        <w:rPr>
          <w:b/>
          <w:sz w:val="26"/>
          <w:szCs w:val="26"/>
          <w:u w:val="single"/>
          <w:lang w:eastAsia="en-US"/>
        </w:rPr>
        <w:t>COMISIA DE CONCURS:</w:t>
      </w:r>
    </w:p>
    <w:p w:rsidR="00024555" w:rsidRPr="000057B4" w:rsidRDefault="00024555" w:rsidP="00024555">
      <w:pPr>
        <w:rPr>
          <w:b/>
          <w:sz w:val="16"/>
          <w:szCs w:val="16"/>
        </w:rPr>
      </w:pPr>
    </w:p>
    <w:p w:rsidR="00024555" w:rsidRPr="00B71257" w:rsidRDefault="00024555" w:rsidP="00024555">
      <w:pPr>
        <w:rPr>
          <w:b/>
          <w:color w:val="000000" w:themeColor="text1"/>
        </w:rPr>
      </w:pPr>
      <w:r w:rsidRPr="00B71257">
        <w:rPr>
          <w:b/>
          <w:color w:val="000000" w:themeColor="text1"/>
        </w:rPr>
        <w:t xml:space="preserve">DATA AFIȘĂRII: </w:t>
      </w:r>
      <w:r w:rsidR="008C79A7">
        <w:rPr>
          <w:b/>
          <w:color w:val="000000" w:themeColor="text1"/>
        </w:rPr>
        <w:t>2</w:t>
      </w:r>
      <w:r w:rsidR="0039652A" w:rsidRPr="00B71257">
        <w:rPr>
          <w:b/>
          <w:color w:val="000000" w:themeColor="text1"/>
        </w:rPr>
        <w:t>7</w:t>
      </w:r>
      <w:r w:rsidRPr="00B71257">
        <w:rPr>
          <w:b/>
          <w:color w:val="000000" w:themeColor="text1"/>
        </w:rPr>
        <w:t>.0</w:t>
      </w:r>
      <w:r w:rsidR="008C79A7">
        <w:rPr>
          <w:b/>
          <w:color w:val="000000" w:themeColor="text1"/>
        </w:rPr>
        <w:t>6</w:t>
      </w:r>
      <w:r w:rsidRPr="00B71257">
        <w:rPr>
          <w:b/>
          <w:color w:val="000000" w:themeColor="text1"/>
        </w:rPr>
        <w:t>.202</w:t>
      </w:r>
      <w:r w:rsidR="006F5F02" w:rsidRPr="00B71257">
        <w:rPr>
          <w:b/>
          <w:color w:val="000000" w:themeColor="text1"/>
        </w:rPr>
        <w:t>3</w:t>
      </w:r>
    </w:p>
    <w:p w:rsidR="007A7C45" w:rsidRPr="00B71257" w:rsidRDefault="00E4202F" w:rsidP="007A7C45">
      <w:pPr>
        <w:spacing w:before="120"/>
        <w:rPr>
          <w:b/>
          <w:color w:val="000000" w:themeColor="text1"/>
        </w:rPr>
      </w:pPr>
      <w:r w:rsidRPr="00B71257">
        <w:rPr>
          <w:b/>
          <w:color w:val="000000" w:themeColor="text1"/>
        </w:rPr>
        <w:t>ORA:</w:t>
      </w:r>
      <w:r w:rsidR="003E333E" w:rsidRPr="00B71257">
        <w:rPr>
          <w:b/>
          <w:color w:val="000000" w:themeColor="text1"/>
        </w:rPr>
        <w:t xml:space="preserve"> </w:t>
      </w:r>
      <w:r w:rsidR="00BD1706">
        <w:rPr>
          <w:b/>
          <w:color w:val="000000" w:themeColor="text1"/>
        </w:rPr>
        <w:t xml:space="preserve"> </w:t>
      </w:r>
      <w:r w:rsidR="0006735D">
        <w:rPr>
          <w:b/>
          <w:color w:val="000000" w:themeColor="text1"/>
        </w:rPr>
        <w:t>17.30</w:t>
      </w:r>
      <w:bookmarkStart w:id="0" w:name="_GoBack"/>
      <w:bookmarkEnd w:id="0"/>
    </w:p>
    <w:p w:rsidR="002D1C67" w:rsidRDefault="00024555" w:rsidP="007A7C45">
      <w:pPr>
        <w:spacing w:before="120"/>
      </w:pPr>
      <w:r w:rsidRPr="00B71257">
        <w:rPr>
          <w:rFonts w:ascii="Courier New" w:hAnsi="Courier New" w:cs="Courier New"/>
          <w:color w:val="000000" w:themeColor="text1"/>
          <w:sz w:val="22"/>
          <w:szCs w:val="22"/>
        </w:rPr>
        <w:t xml:space="preserve">* </w:t>
      </w:r>
      <w:r w:rsidRPr="00B71257">
        <w:rPr>
          <w:color w:val="000000" w:themeColor="text1"/>
          <w:sz w:val="22"/>
          <w:szCs w:val="22"/>
        </w:rPr>
        <w:t xml:space="preserve">Se trec următoarele </w:t>
      </w:r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"eliminat din concurs", după caz.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057B4"/>
    <w:rsid w:val="00010B46"/>
    <w:rsid w:val="00024555"/>
    <w:rsid w:val="00040B4A"/>
    <w:rsid w:val="00057760"/>
    <w:rsid w:val="0006735D"/>
    <w:rsid w:val="000F6B5E"/>
    <w:rsid w:val="00187E56"/>
    <w:rsid w:val="001C06D1"/>
    <w:rsid w:val="00267491"/>
    <w:rsid w:val="003761F5"/>
    <w:rsid w:val="00391612"/>
    <w:rsid w:val="0039652A"/>
    <w:rsid w:val="003A5A1F"/>
    <w:rsid w:val="003E333E"/>
    <w:rsid w:val="004870F0"/>
    <w:rsid w:val="005274EF"/>
    <w:rsid w:val="00550E56"/>
    <w:rsid w:val="005A6453"/>
    <w:rsid w:val="005F0733"/>
    <w:rsid w:val="00613D31"/>
    <w:rsid w:val="00674956"/>
    <w:rsid w:val="006952D7"/>
    <w:rsid w:val="006F5F02"/>
    <w:rsid w:val="007A7C45"/>
    <w:rsid w:val="007F3CCC"/>
    <w:rsid w:val="008055A9"/>
    <w:rsid w:val="008305D3"/>
    <w:rsid w:val="008356CE"/>
    <w:rsid w:val="008540EB"/>
    <w:rsid w:val="008955B1"/>
    <w:rsid w:val="008C79A7"/>
    <w:rsid w:val="0099585B"/>
    <w:rsid w:val="009C2544"/>
    <w:rsid w:val="009D6CBE"/>
    <w:rsid w:val="00A72E89"/>
    <w:rsid w:val="00A909FD"/>
    <w:rsid w:val="00B71257"/>
    <w:rsid w:val="00B941A6"/>
    <w:rsid w:val="00BC6EFC"/>
    <w:rsid w:val="00BD1706"/>
    <w:rsid w:val="00BD2345"/>
    <w:rsid w:val="00CF51DA"/>
    <w:rsid w:val="00D36C05"/>
    <w:rsid w:val="00D62408"/>
    <w:rsid w:val="00E4202F"/>
    <w:rsid w:val="00EC4BB0"/>
    <w:rsid w:val="00F064E5"/>
    <w:rsid w:val="00F3766E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D2E3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A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69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semiHidden/>
    <w:unhideWhenUsed/>
    <w:rsid w:val="003761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761F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76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.politiaromana.ro/ro/carier&#259;/posturi-scoase-la-concurs" TargetMode="External"/><Relationship Id="rId5" Type="http://schemas.openxmlformats.org/officeDocument/2006/relationships/hyperlink" Target="mailto:resurseumane@cl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alexandra dumitrescu CL</cp:lastModifiedBy>
  <cp:revision>2</cp:revision>
  <cp:lastPrinted>2022-03-09T08:50:00Z</cp:lastPrinted>
  <dcterms:created xsi:type="dcterms:W3CDTF">2023-06-27T14:30:00Z</dcterms:created>
  <dcterms:modified xsi:type="dcterms:W3CDTF">2023-06-27T14:30:00Z</dcterms:modified>
</cp:coreProperties>
</file>