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8C" w:rsidRPr="00E66F8C" w:rsidRDefault="00FE5C8C" w:rsidP="00FE5C8C">
      <w:pPr>
        <w:ind w:right="-234"/>
        <w:jc w:val="both"/>
        <w:rPr>
          <w:b/>
        </w:rPr>
      </w:pPr>
      <w:r w:rsidRPr="00F7258C">
        <w:t xml:space="preserve">                                                                                                                                                   </w:t>
      </w:r>
      <w:r w:rsidRPr="00F7258C">
        <w:rPr>
          <w:b/>
        </w:rPr>
        <w:t xml:space="preserve">Anexa nr. </w:t>
      </w:r>
      <w:r>
        <w:rPr>
          <w:b/>
        </w:rPr>
        <w:t>1</w:t>
      </w:r>
      <w:r w:rsidRPr="00F7258C">
        <w:t xml:space="preserve">               </w:t>
      </w:r>
    </w:p>
    <w:p w:rsidR="00FE5C8C" w:rsidRDefault="00FE5C8C" w:rsidP="00FE5C8C">
      <w:pPr>
        <w:pStyle w:val="BodyText"/>
        <w:tabs>
          <w:tab w:val="center" w:pos="4320"/>
          <w:tab w:val="right" w:pos="8640"/>
        </w:tabs>
        <w:spacing w:after="0"/>
        <w:ind w:left="-142" w:right="-234"/>
      </w:pPr>
      <w:r w:rsidRPr="00F7258C">
        <w:tab/>
        <w:t xml:space="preserve">               </w:t>
      </w:r>
    </w:p>
    <w:p w:rsidR="00FE5C8C" w:rsidRDefault="00FE5C8C" w:rsidP="00FE5C8C">
      <w:pPr>
        <w:pStyle w:val="BodyText"/>
        <w:tabs>
          <w:tab w:val="center" w:pos="4320"/>
          <w:tab w:val="right" w:pos="8640"/>
        </w:tabs>
        <w:spacing w:after="0" w:line="276" w:lineRule="auto"/>
        <w:ind w:left="-142" w:right="-234"/>
      </w:pPr>
      <w:r>
        <w:t xml:space="preserve">                                                               </w:t>
      </w:r>
    </w:p>
    <w:tbl>
      <w:tblPr>
        <w:tblW w:w="5029" w:type="dxa"/>
        <w:tblLayout w:type="fixed"/>
        <w:tblLook w:val="01E0" w:firstRow="1" w:lastRow="1" w:firstColumn="1" w:lastColumn="1" w:noHBand="0" w:noVBand="0"/>
      </w:tblPr>
      <w:tblGrid>
        <w:gridCol w:w="5029"/>
      </w:tblGrid>
      <w:tr w:rsidR="00FE5C8C" w:rsidRPr="00FE5C8C" w:rsidTr="00FE5C8C">
        <w:trPr>
          <w:trHeight w:val="1451"/>
        </w:trPr>
        <w:tc>
          <w:tcPr>
            <w:tcW w:w="5029" w:type="dxa"/>
            <w:shd w:val="clear" w:color="auto" w:fill="auto"/>
          </w:tcPr>
          <w:p w:rsidR="00FE5C8C" w:rsidRPr="00FE5C8C" w:rsidRDefault="00FE5C8C" w:rsidP="00FE5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u w:val="single"/>
                <w:lang w:eastAsia="ro-RO"/>
              </w:rPr>
            </w:pPr>
          </w:p>
          <w:p w:rsidR="00FE5C8C" w:rsidRPr="00FE5C8C" w:rsidRDefault="00FE5C8C" w:rsidP="00FE5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u w:val="single"/>
                <w:lang w:eastAsia="ro-RO"/>
              </w:rPr>
            </w:pPr>
          </w:p>
          <w:p w:rsidR="00FE5C8C" w:rsidRPr="00FE5C8C" w:rsidRDefault="00FE5C8C" w:rsidP="00FE5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u w:val="single"/>
                <w:lang w:eastAsia="ro-RO"/>
              </w:rPr>
            </w:pPr>
          </w:p>
          <w:p w:rsidR="00FE5C8C" w:rsidRPr="00FE5C8C" w:rsidRDefault="00FE5C8C" w:rsidP="00FE5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u w:val="single"/>
                <w:lang w:eastAsia="ro-RO"/>
              </w:rPr>
            </w:pPr>
            <w:r w:rsidRPr="00FE5C8C">
              <w:rPr>
                <w:rFonts w:eastAsia="Times New Roman"/>
                <w:b/>
                <w:u w:val="single"/>
                <w:lang w:eastAsia="ro-RO"/>
              </w:rPr>
              <w:t>APROB:</w:t>
            </w:r>
          </w:p>
          <w:p w:rsidR="00FE5C8C" w:rsidRPr="00FE5C8C" w:rsidRDefault="00FE5C8C" w:rsidP="00FE5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lang w:eastAsia="ro-RO"/>
              </w:rPr>
            </w:pPr>
            <w:r w:rsidRPr="00FE5C8C">
              <w:rPr>
                <w:rFonts w:eastAsia="Times New Roman"/>
                <w:b/>
                <w:lang w:eastAsia="ro-RO"/>
              </w:rPr>
              <w:t>PREȘEDINTELE COMISIEI DE</w:t>
            </w:r>
          </w:p>
          <w:p w:rsidR="00FE5C8C" w:rsidRPr="00FE5C8C" w:rsidRDefault="00FE5C8C" w:rsidP="00FE5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lang w:eastAsia="ro-RO"/>
              </w:rPr>
            </w:pPr>
            <w:r w:rsidRPr="00FE5C8C">
              <w:rPr>
                <w:rFonts w:eastAsia="Times New Roman"/>
                <w:b/>
                <w:lang w:eastAsia="ro-RO"/>
              </w:rPr>
              <w:t xml:space="preserve"> CONCURS</w:t>
            </w:r>
          </w:p>
        </w:tc>
      </w:tr>
      <w:tr w:rsidR="00FE5C8C" w:rsidRPr="00FE5C8C" w:rsidTr="00FE5C8C">
        <w:trPr>
          <w:trHeight w:val="483"/>
        </w:trPr>
        <w:tc>
          <w:tcPr>
            <w:tcW w:w="5029" w:type="dxa"/>
            <w:shd w:val="clear" w:color="auto" w:fill="auto"/>
          </w:tcPr>
          <w:p w:rsidR="00FE5C8C" w:rsidRPr="00FE5C8C" w:rsidRDefault="00FE5C8C" w:rsidP="00FE5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lang w:eastAsia="ro-RO"/>
              </w:rPr>
            </w:pPr>
          </w:p>
        </w:tc>
      </w:tr>
      <w:tr w:rsidR="00FE5C8C" w:rsidRPr="00FE5C8C" w:rsidTr="00FE5C8C">
        <w:trPr>
          <w:trHeight w:val="241"/>
        </w:trPr>
        <w:tc>
          <w:tcPr>
            <w:tcW w:w="5029" w:type="dxa"/>
            <w:shd w:val="clear" w:color="auto" w:fill="auto"/>
          </w:tcPr>
          <w:p w:rsidR="00FE5C8C" w:rsidRPr="00FE5C8C" w:rsidRDefault="00FE5C8C" w:rsidP="00FE5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lang w:eastAsia="ro-RO"/>
              </w:rPr>
            </w:pPr>
          </w:p>
        </w:tc>
      </w:tr>
    </w:tbl>
    <w:p w:rsidR="00FE5C8C" w:rsidRDefault="00FE5C8C" w:rsidP="00FE5C8C">
      <w:pPr>
        <w:pStyle w:val="BodyText"/>
        <w:tabs>
          <w:tab w:val="center" w:pos="4320"/>
          <w:tab w:val="right" w:pos="8640"/>
        </w:tabs>
        <w:spacing w:after="0" w:line="276" w:lineRule="auto"/>
        <w:ind w:left="-142" w:right="-234"/>
      </w:pPr>
    </w:p>
    <w:p w:rsidR="00FE5C8C" w:rsidRDefault="00FE5C8C" w:rsidP="00FE5C8C">
      <w:pPr>
        <w:pStyle w:val="BodyText"/>
        <w:tabs>
          <w:tab w:val="center" w:pos="4320"/>
          <w:tab w:val="right" w:pos="8640"/>
        </w:tabs>
        <w:spacing w:after="0" w:line="276" w:lineRule="auto"/>
        <w:ind w:left="-142" w:right="-234"/>
      </w:pPr>
    </w:p>
    <w:p w:rsidR="00FE5C8C" w:rsidRPr="00F7258C" w:rsidRDefault="00FE5C8C" w:rsidP="00FE5C8C">
      <w:pPr>
        <w:pStyle w:val="BodyText"/>
        <w:tabs>
          <w:tab w:val="center" w:pos="4320"/>
          <w:tab w:val="right" w:pos="8640"/>
        </w:tabs>
        <w:spacing w:after="0" w:line="276" w:lineRule="auto"/>
        <w:ind w:left="-142" w:right="-234"/>
        <w:jc w:val="center"/>
        <w:rPr>
          <w:b/>
        </w:rPr>
      </w:pPr>
      <w:r w:rsidRPr="00F7258C">
        <w:rPr>
          <w:b/>
        </w:rPr>
        <w:t>TEMATICA ȘI BIBLIOGRAFIA</w:t>
      </w:r>
    </w:p>
    <w:p w:rsidR="00FE5C8C" w:rsidRPr="00F7258C" w:rsidRDefault="00FE5C8C" w:rsidP="00FE5C8C">
      <w:pPr>
        <w:pStyle w:val="BodyText"/>
        <w:tabs>
          <w:tab w:val="center" w:pos="4320"/>
          <w:tab w:val="right" w:pos="8640"/>
        </w:tabs>
        <w:spacing w:after="0" w:line="276" w:lineRule="auto"/>
        <w:ind w:left="-142" w:right="-234"/>
        <w:rPr>
          <w:b/>
        </w:rPr>
      </w:pPr>
    </w:p>
    <w:p w:rsidR="00FE5C8C" w:rsidRPr="00F7258C" w:rsidRDefault="00FE5C8C" w:rsidP="00FE5C8C">
      <w:pPr>
        <w:spacing w:line="276" w:lineRule="auto"/>
        <w:ind w:left="-142" w:right="-234"/>
        <w:jc w:val="center"/>
        <w:rPr>
          <w:b/>
          <w:i/>
          <w:color w:val="FF0000"/>
        </w:rPr>
      </w:pPr>
      <w:r w:rsidRPr="00F7258C">
        <w:rPr>
          <w:b/>
          <w:i/>
        </w:rPr>
        <w:t>recomandate candidaţilor înscrişi la concursul organizat pentru ocuparea</w:t>
      </w:r>
      <w:r>
        <w:rPr>
          <w:b/>
          <w:i/>
        </w:rPr>
        <w:t xml:space="preserve"> funcţiei</w:t>
      </w:r>
      <w:r w:rsidRPr="00F7258C">
        <w:rPr>
          <w:b/>
          <w:i/>
        </w:rPr>
        <w:t xml:space="preserve"> </w:t>
      </w:r>
      <w:r>
        <w:rPr>
          <w:b/>
          <w:i/>
        </w:rPr>
        <w:t xml:space="preserve">de şef grupă  la Serviciul pentru Acţiuni Speciale din cadrul IPJ Călărași prevăzută la poziţia 152 din statul de organizare al unităţii </w:t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i/>
          <w:szCs w:val="28"/>
        </w:rPr>
      </w:pP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  <w:u w:val="single"/>
          <w:lang w:val="en-US"/>
        </w:rPr>
      </w:pPr>
      <w:r w:rsidRPr="00380E58">
        <w:rPr>
          <w:rFonts w:eastAsia="Times New Roman"/>
          <w:b/>
          <w:bCs/>
          <w:szCs w:val="28"/>
          <w:u w:val="single"/>
          <w:lang w:val="en-US"/>
        </w:rPr>
        <w:t>TEMATICA ȘI BIBLIOGRAFIA</w:t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  <w:u w:val="single"/>
        </w:rPr>
      </w:pP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  <w:lang w:val="it-IT"/>
        </w:rPr>
      </w:pPr>
      <w:r w:rsidRPr="00380E58">
        <w:rPr>
          <w:rFonts w:eastAsia="Times New Roman"/>
          <w:b/>
          <w:bCs/>
          <w:szCs w:val="28"/>
          <w:u w:val="single"/>
        </w:rPr>
        <w:t>1.ACTIVITĂŢI  DE MANAGEMENT ŞI RESURSE UMANE</w:t>
      </w:r>
      <w:r w:rsidRPr="00380E58">
        <w:rPr>
          <w:rFonts w:eastAsia="Times New Roman"/>
          <w:b/>
          <w:bCs/>
          <w:szCs w:val="28"/>
        </w:rPr>
        <w:t> </w:t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</w:rPr>
      </w:pPr>
      <w:r w:rsidRPr="00380E58">
        <w:rPr>
          <w:rFonts w:eastAsia="Times New Roman"/>
          <w:b/>
          <w:bCs/>
          <w:szCs w:val="28"/>
          <w:u w:val="single"/>
        </w:rPr>
        <w:t>TEMATICĂ:</w:t>
      </w:r>
    </w:p>
    <w:p w:rsidR="00FE5C8C" w:rsidRPr="00380E58" w:rsidRDefault="00FE5C8C" w:rsidP="00FE5C8C">
      <w:pPr>
        <w:numPr>
          <w:ilvl w:val="0"/>
          <w:numId w:val="1"/>
        </w:numPr>
        <w:spacing w:line="276" w:lineRule="auto"/>
        <w:rPr>
          <w:rFonts w:eastAsia="Times New Roman"/>
          <w:bCs/>
          <w:szCs w:val="28"/>
        </w:rPr>
      </w:pPr>
      <w:r w:rsidRPr="00380E58">
        <w:rPr>
          <w:rFonts w:eastAsia="Times New Roman"/>
          <w:bCs/>
          <w:szCs w:val="28"/>
        </w:rPr>
        <w:t>Etica şi deontologia poliţienească;</w:t>
      </w:r>
    </w:p>
    <w:p w:rsidR="005A1035" w:rsidRDefault="005A1035" w:rsidP="005A1035">
      <w:pPr>
        <w:numPr>
          <w:ilvl w:val="0"/>
          <w:numId w:val="1"/>
        </w:numPr>
        <w:spacing w:line="276" w:lineRule="auto"/>
        <w:rPr>
          <w:rFonts w:eastAsia="Times New Roman"/>
          <w:bCs/>
          <w:szCs w:val="28"/>
        </w:rPr>
      </w:pPr>
      <w:r w:rsidRPr="005A1035">
        <w:rPr>
          <w:rFonts w:eastAsia="Times New Roman"/>
          <w:bCs/>
          <w:szCs w:val="28"/>
        </w:rPr>
        <w:t>Drepturile, îndatoririle şi restrângerea exerciţiului unor drepturi sau libertăţi ale poliţistului</w:t>
      </w:r>
      <w:r>
        <w:rPr>
          <w:rFonts w:eastAsia="Times New Roman"/>
          <w:bCs/>
          <w:szCs w:val="28"/>
        </w:rPr>
        <w:t>;</w:t>
      </w:r>
    </w:p>
    <w:p w:rsidR="00FE5C8C" w:rsidRPr="00380E58" w:rsidRDefault="00FE5C8C" w:rsidP="005A1035">
      <w:pPr>
        <w:numPr>
          <w:ilvl w:val="0"/>
          <w:numId w:val="1"/>
        </w:numPr>
        <w:spacing w:line="276" w:lineRule="auto"/>
        <w:rPr>
          <w:rFonts w:eastAsia="Times New Roman"/>
          <w:bCs/>
          <w:szCs w:val="28"/>
        </w:rPr>
      </w:pPr>
      <w:r w:rsidRPr="00380E58">
        <w:rPr>
          <w:rFonts w:eastAsia="Times New Roman"/>
          <w:bCs/>
          <w:szCs w:val="28"/>
          <w:lang w:val="it-IT"/>
        </w:rPr>
        <w:t xml:space="preserve"> </w:t>
      </w:r>
      <w:r w:rsidR="005A1035" w:rsidRPr="005A1035">
        <w:rPr>
          <w:rFonts w:eastAsia="Times New Roman"/>
          <w:bCs/>
          <w:szCs w:val="28"/>
          <w:lang w:val="it-IT"/>
        </w:rPr>
        <w:t>Recompense, răspunderea juridică şi sancţiuni;</w:t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</w:rPr>
      </w:pPr>
      <w:r w:rsidRPr="00380E58">
        <w:rPr>
          <w:rFonts w:eastAsia="Times New Roman"/>
          <w:b/>
          <w:bCs/>
          <w:szCs w:val="28"/>
        </w:rPr>
        <w:tab/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  <w:u w:val="single"/>
        </w:rPr>
      </w:pPr>
      <w:r w:rsidRPr="00380E58">
        <w:rPr>
          <w:rFonts w:eastAsia="Times New Roman"/>
          <w:b/>
          <w:bCs/>
          <w:szCs w:val="28"/>
          <w:u w:val="single"/>
        </w:rPr>
        <w:t>BIBLIOGRAFIE:</w:t>
      </w:r>
    </w:p>
    <w:p w:rsidR="00FE5C8C" w:rsidRDefault="00FE5C8C" w:rsidP="00FE5C8C">
      <w:pPr>
        <w:numPr>
          <w:ilvl w:val="0"/>
          <w:numId w:val="2"/>
        </w:numPr>
        <w:spacing w:line="276" w:lineRule="auto"/>
        <w:rPr>
          <w:rFonts w:eastAsia="Times New Roman"/>
          <w:bCs/>
          <w:szCs w:val="28"/>
          <w:lang w:val="it-IT"/>
        </w:rPr>
      </w:pPr>
      <w:r w:rsidRPr="00380E58">
        <w:rPr>
          <w:rFonts w:eastAsia="Times New Roman"/>
          <w:bCs/>
          <w:szCs w:val="28"/>
          <w:lang w:val="it-IT"/>
        </w:rPr>
        <w:t>H.G. nr. 991 din 25.08.2005 - Cod de etică şi deontologie al poliţistului;</w:t>
      </w:r>
    </w:p>
    <w:p w:rsidR="005A1035" w:rsidRPr="005A1035" w:rsidRDefault="005A1035" w:rsidP="005A1035">
      <w:pPr>
        <w:pStyle w:val="ListParagraph"/>
        <w:numPr>
          <w:ilvl w:val="0"/>
          <w:numId w:val="2"/>
        </w:numPr>
        <w:rPr>
          <w:rFonts w:eastAsia="Times New Roman"/>
          <w:bCs/>
          <w:szCs w:val="28"/>
          <w:lang w:val="it-IT"/>
        </w:rPr>
      </w:pPr>
      <w:r w:rsidRPr="005A1035">
        <w:rPr>
          <w:rFonts w:eastAsia="Times New Roman"/>
          <w:bCs/>
          <w:szCs w:val="28"/>
          <w:lang w:val="it-IT"/>
        </w:rPr>
        <w:t>Legea nr. 360/2002 actualizată privind Statutul poliţistului, cu modificările şi completările ulterioare;</w:t>
      </w:r>
    </w:p>
    <w:p w:rsidR="005A1035" w:rsidRPr="00380E58" w:rsidRDefault="005A1035" w:rsidP="005A1035">
      <w:pPr>
        <w:spacing w:line="276" w:lineRule="auto"/>
        <w:ind w:left="720"/>
        <w:rPr>
          <w:rFonts w:eastAsia="Times New Roman"/>
          <w:bCs/>
          <w:szCs w:val="28"/>
          <w:lang w:val="it-IT"/>
        </w:rPr>
      </w:pP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  <w:lang w:val="it-IT"/>
        </w:rPr>
      </w:pPr>
    </w:p>
    <w:p w:rsidR="00FE5C8C" w:rsidRPr="00380E58" w:rsidRDefault="005A1035" w:rsidP="00FE5C8C">
      <w:pPr>
        <w:spacing w:line="276" w:lineRule="auto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2</w:t>
      </w:r>
      <w:r w:rsidR="00FE5C8C" w:rsidRPr="00380E58">
        <w:rPr>
          <w:rFonts w:eastAsia="Times New Roman"/>
          <w:b/>
          <w:bCs/>
          <w:szCs w:val="28"/>
          <w:u w:val="single"/>
        </w:rPr>
        <w:t>. ORDINE PUBLICĂ ŞI SPECIALITATE INTERVENŢIE</w:t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</w:rPr>
      </w:pPr>
      <w:r w:rsidRPr="00380E58">
        <w:rPr>
          <w:rFonts w:eastAsia="Times New Roman"/>
          <w:b/>
          <w:bCs/>
          <w:szCs w:val="28"/>
          <w:u w:val="single"/>
        </w:rPr>
        <w:t>TEMATICĂ:</w:t>
      </w:r>
    </w:p>
    <w:p w:rsidR="00FE5C8C" w:rsidRPr="00380E58" w:rsidRDefault="00FE5C8C" w:rsidP="00FE5C8C">
      <w:pPr>
        <w:numPr>
          <w:ilvl w:val="0"/>
          <w:numId w:val="7"/>
        </w:numPr>
        <w:spacing w:line="276" w:lineRule="auto"/>
        <w:rPr>
          <w:rFonts w:eastAsia="Times New Roman"/>
          <w:bCs/>
          <w:szCs w:val="28"/>
        </w:rPr>
      </w:pPr>
      <w:r w:rsidRPr="00380E58">
        <w:rPr>
          <w:rFonts w:eastAsia="Times New Roman"/>
          <w:bCs/>
          <w:szCs w:val="28"/>
        </w:rPr>
        <w:t>Uzul de armă.</w:t>
      </w:r>
    </w:p>
    <w:p w:rsidR="00FE5C8C" w:rsidRPr="00380E58" w:rsidRDefault="00FE5C8C" w:rsidP="00FE5C8C">
      <w:pPr>
        <w:numPr>
          <w:ilvl w:val="0"/>
          <w:numId w:val="7"/>
        </w:numPr>
        <w:spacing w:line="276" w:lineRule="auto"/>
        <w:rPr>
          <w:rFonts w:eastAsia="Times New Roman"/>
          <w:bCs/>
          <w:szCs w:val="28"/>
        </w:rPr>
      </w:pPr>
      <w:r w:rsidRPr="00380E58">
        <w:rPr>
          <w:rFonts w:eastAsia="Times New Roman"/>
          <w:bCs/>
          <w:szCs w:val="28"/>
        </w:rPr>
        <w:t>Organizarea activităţii structurilor speciale de poliţie pentru intervenţie rapidă. Atribuţiile structurilor speciale de poliţie pentru intervenţie rapidă. Organizarea activităţii şi executarea acţiunilor. Pregătirea şi evaluarea activităţii personalului.</w:t>
      </w:r>
    </w:p>
    <w:p w:rsidR="00FE5C8C" w:rsidRDefault="00FE5C8C" w:rsidP="00FE5C8C">
      <w:pPr>
        <w:numPr>
          <w:ilvl w:val="0"/>
          <w:numId w:val="7"/>
        </w:numPr>
        <w:spacing w:line="276" w:lineRule="auto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Colaborarea dintre structurile de intervenție și acțiuni speciale și structurile operative ale Poliției Române.</w:t>
      </w:r>
    </w:p>
    <w:p w:rsidR="00FE5C8C" w:rsidRDefault="00FE5C8C" w:rsidP="00FE5C8C">
      <w:pPr>
        <w:numPr>
          <w:ilvl w:val="0"/>
          <w:numId w:val="7"/>
        </w:numPr>
        <w:spacing w:line="276" w:lineRule="auto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Protecția polițiștilor, magistraților și a familiilor acestora, precum și a conducătorilor autorităților străine cu atribuții în domeniul afacerilor interne sau justiției, aflați în România, în vizite oficiale sau în misiune</w:t>
      </w:r>
    </w:p>
    <w:p w:rsidR="00FE5C8C" w:rsidRPr="00380E58" w:rsidRDefault="00FE5C8C" w:rsidP="00FE5C8C">
      <w:pPr>
        <w:spacing w:line="276" w:lineRule="auto"/>
        <w:ind w:left="1080"/>
        <w:rPr>
          <w:rFonts w:eastAsia="Times New Roman"/>
          <w:bCs/>
          <w:szCs w:val="28"/>
        </w:rPr>
      </w:pP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iCs/>
          <w:szCs w:val="28"/>
          <w:u w:val="single"/>
        </w:rPr>
      </w:pPr>
      <w:r w:rsidRPr="00380E58">
        <w:rPr>
          <w:rFonts w:eastAsia="Times New Roman"/>
          <w:b/>
          <w:bCs/>
          <w:iCs/>
          <w:szCs w:val="28"/>
          <w:u w:val="single"/>
        </w:rPr>
        <w:t>BIBLIOGRAFIE:</w:t>
      </w:r>
    </w:p>
    <w:p w:rsidR="00FE5C8C" w:rsidRPr="00380E58" w:rsidRDefault="00FE5C8C" w:rsidP="00FE5C8C">
      <w:pPr>
        <w:spacing w:line="276" w:lineRule="auto"/>
        <w:rPr>
          <w:rFonts w:eastAsia="Times New Roman"/>
          <w:bCs/>
          <w:szCs w:val="28"/>
          <w:lang w:val="en-US"/>
        </w:rPr>
      </w:pPr>
      <w:r w:rsidRPr="00380E58">
        <w:rPr>
          <w:rFonts w:eastAsia="Times New Roman"/>
          <w:bCs/>
          <w:szCs w:val="28"/>
          <w:lang w:val="en-US"/>
        </w:rPr>
        <w:t>-</w:t>
      </w:r>
      <w:r w:rsidRPr="00380E58">
        <w:rPr>
          <w:rFonts w:eastAsia="Times New Roman"/>
          <w:bCs/>
          <w:szCs w:val="28"/>
        </w:rPr>
        <w:t xml:space="preserve"> </w:t>
      </w:r>
      <w:proofErr w:type="spellStart"/>
      <w:r w:rsidRPr="00380E58">
        <w:rPr>
          <w:rFonts w:eastAsia="Times New Roman"/>
          <w:bCs/>
          <w:szCs w:val="28"/>
          <w:lang w:val="en-US"/>
        </w:rPr>
        <w:t>Legea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 nr.17/1996 </w:t>
      </w:r>
      <w:proofErr w:type="spellStart"/>
      <w:r w:rsidRPr="00380E58">
        <w:rPr>
          <w:rFonts w:eastAsia="Times New Roman"/>
          <w:bCs/>
          <w:szCs w:val="28"/>
          <w:lang w:val="en-US"/>
        </w:rPr>
        <w:t>privind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 </w:t>
      </w:r>
      <w:proofErr w:type="spellStart"/>
      <w:r w:rsidRPr="00380E58">
        <w:rPr>
          <w:rFonts w:eastAsia="Times New Roman"/>
          <w:bCs/>
          <w:szCs w:val="28"/>
          <w:lang w:val="en-US"/>
        </w:rPr>
        <w:t>regimul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 </w:t>
      </w:r>
      <w:proofErr w:type="spellStart"/>
      <w:r w:rsidRPr="00380E58">
        <w:rPr>
          <w:rFonts w:eastAsia="Times New Roman"/>
          <w:bCs/>
          <w:szCs w:val="28"/>
          <w:lang w:val="en-US"/>
        </w:rPr>
        <w:t>armelor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 de </w:t>
      </w:r>
      <w:proofErr w:type="spellStart"/>
      <w:r w:rsidRPr="00380E58">
        <w:rPr>
          <w:rFonts w:eastAsia="Times New Roman"/>
          <w:bCs/>
          <w:szCs w:val="28"/>
          <w:lang w:val="en-US"/>
        </w:rPr>
        <w:t>foc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 </w:t>
      </w:r>
      <w:proofErr w:type="spellStart"/>
      <w:r w:rsidRPr="00380E58">
        <w:rPr>
          <w:rFonts w:eastAsia="Times New Roman"/>
          <w:bCs/>
          <w:szCs w:val="28"/>
          <w:lang w:val="en-US"/>
        </w:rPr>
        <w:t>şi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 al </w:t>
      </w:r>
      <w:proofErr w:type="spellStart"/>
      <w:r w:rsidRPr="00380E58">
        <w:rPr>
          <w:rFonts w:eastAsia="Times New Roman"/>
          <w:bCs/>
          <w:szCs w:val="28"/>
          <w:lang w:val="en-US"/>
        </w:rPr>
        <w:t>muniţiilor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, </w:t>
      </w:r>
      <w:proofErr w:type="spellStart"/>
      <w:r w:rsidRPr="00380E58">
        <w:rPr>
          <w:rFonts w:eastAsia="Times New Roman"/>
          <w:bCs/>
          <w:szCs w:val="28"/>
          <w:lang w:val="en-US"/>
        </w:rPr>
        <w:t>completată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 cu </w:t>
      </w:r>
      <w:proofErr w:type="spellStart"/>
      <w:r w:rsidRPr="00380E58">
        <w:rPr>
          <w:rFonts w:eastAsia="Times New Roman"/>
          <w:bCs/>
          <w:szCs w:val="28"/>
          <w:lang w:val="en-US"/>
        </w:rPr>
        <w:t>prevederile</w:t>
      </w:r>
      <w:proofErr w:type="spellEnd"/>
      <w:r>
        <w:rPr>
          <w:rFonts w:eastAsia="Times New Roman"/>
          <w:bCs/>
          <w:szCs w:val="28"/>
          <w:lang w:val="en-US"/>
        </w:rPr>
        <w:t xml:space="preserve"> </w:t>
      </w:r>
      <w:proofErr w:type="spellStart"/>
      <w:r>
        <w:rPr>
          <w:rFonts w:eastAsia="Times New Roman"/>
          <w:bCs/>
          <w:szCs w:val="28"/>
          <w:lang w:val="en-US"/>
        </w:rPr>
        <w:t>legii</w:t>
      </w:r>
      <w:proofErr w:type="spellEnd"/>
      <w:r>
        <w:rPr>
          <w:rFonts w:eastAsia="Times New Roman"/>
          <w:bCs/>
          <w:szCs w:val="28"/>
          <w:lang w:val="en-US"/>
        </w:rPr>
        <w:t xml:space="preserve"> 180 din 7 </w:t>
      </w:r>
      <w:proofErr w:type="spellStart"/>
      <w:r>
        <w:rPr>
          <w:rFonts w:eastAsia="Times New Roman"/>
          <w:bCs/>
          <w:szCs w:val="28"/>
          <w:lang w:val="en-US"/>
        </w:rPr>
        <w:t>octombrie</w:t>
      </w:r>
      <w:proofErr w:type="spellEnd"/>
      <w:r>
        <w:rPr>
          <w:rFonts w:eastAsia="Times New Roman"/>
          <w:bCs/>
          <w:szCs w:val="28"/>
          <w:lang w:val="en-US"/>
        </w:rPr>
        <w:t xml:space="preserve"> 2016</w:t>
      </w:r>
    </w:p>
    <w:p w:rsidR="00FE5C8C" w:rsidRPr="00380E58" w:rsidRDefault="00FE5C8C" w:rsidP="00FE5C8C">
      <w:pPr>
        <w:spacing w:line="276" w:lineRule="auto"/>
        <w:rPr>
          <w:rFonts w:eastAsia="Times New Roman"/>
          <w:bCs/>
          <w:szCs w:val="28"/>
          <w:lang w:val="en-US"/>
        </w:rPr>
      </w:pPr>
      <w:r w:rsidRPr="00380E58">
        <w:rPr>
          <w:rFonts w:eastAsia="Times New Roman"/>
          <w:bCs/>
          <w:szCs w:val="28"/>
        </w:rPr>
        <w:lastRenderedPageBreak/>
        <w:t>- Dispoziţia I.G.P.R. nr. 66 / 17.06.2020 privind organizarea activitatii a Serviciilor pentru Actiuni Speciale</w:t>
      </w:r>
    </w:p>
    <w:p w:rsidR="00FE5C8C" w:rsidRDefault="00FE5C8C" w:rsidP="00FE5C8C">
      <w:pPr>
        <w:spacing w:line="276" w:lineRule="auto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- PS- IGPR- SIIAS- 02- Procedură de sistem privind colaborarea dintre unitățile/structurile de intervenție și acțiuni speciale și structurile operative ale Poliției Române.</w:t>
      </w:r>
    </w:p>
    <w:p w:rsidR="00FE5C8C" w:rsidRDefault="00FE5C8C" w:rsidP="00FE5C8C">
      <w:pPr>
        <w:spacing w:line="276" w:lineRule="auto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- PS- IGPR- SIIAS- 04- Procedură de sistem privind protecția polițiștilor, magistraților și a familiilor acestora, precum și a conducătorilor autorităților străine cu atribuții în domeniul afacerilor interne sau justiției, aflați în România, în vizite oficiale sau în misiune</w:t>
      </w:r>
    </w:p>
    <w:p w:rsidR="00FE5C8C" w:rsidRDefault="00FE5C8C" w:rsidP="00FE5C8C">
      <w:pPr>
        <w:spacing w:line="276" w:lineRule="auto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- PS- IGPR- SIIAS- 16- Procedură de sistem privind modul de acțiune în cazul situațiilor de criză ce implică lipsirea de libertate în mod ilegal a unor persoane.</w:t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  <w:lang w:val="it-IT"/>
        </w:rPr>
      </w:pPr>
    </w:p>
    <w:p w:rsidR="00FE5C8C" w:rsidRPr="00380E58" w:rsidRDefault="00D3456E" w:rsidP="00FE5C8C">
      <w:pPr>
        <w:spacing w:line="276" w:lineRule="auto"/>
        <w:rPr>
          <w:rFonts w:eastAsia="Times New Roman"/>
          <w:b/>
          <w:bCs/>
          <w:szCs w:val="28"/>
          <w:u w:val="single"/>
          <w:lang w:val="en-US"/>
        </w:rPr>
      </w:pPr>
      <w:r>
        <w:rPr>
          <w:rFonts w:eastAsia="Times New Roman"/>
          <w:b/>
          <w:bCs/>
          <w:szCs w:val="28"/>
          <w:u w:val="single"/>
          <w:lang w:val="en-US"/>
        </w:rPr>
        <w:t>3</w:t>
      </w:r>
      <w:r w:rsidR="00FE5C8C" w:rsidRPr="00380E58">
        <w:rPr>
          <w:rFonts w:eastAsia="Times New Roman"/>
          <w:b/>
          <w:bCs/>
          <w:szCs w:val="28"/>
          <w:u w:val="single"/>
          <w:lang w:val="en-US"/>
        </w:rPr>
        <w:t>. PROTECȚ</w:t>
      </w:r>
      <w:proofErr w:type="gramStart"/>
      <w:r w:rsidR="00FE5C8C" w:rsidRPr="00380E58">
        <w:rPr>
          <w:rFonts w:eastAsia="Times New Roman"/>
          <w:b/>
          <w:bCs/>
          <w:szCs w:val="28"/>
          <w:u w:val="single"/>
          <w:lang w:val="en-US"/>
        </w:rPr>
        <w:t>IA  DOCUMENTE</w:t>
      </w:r>
      <w:proofErr w:type="gramEnd"/>
      <w:r w:rsidR="00FE5C8C" w:rsidRPr="00380E58">
        <w:rPr>
          <w:rFonts w:eastAsia="Times New Roman"/>
          <w:b/>
          <w:bCs/>
          <w:szCs w:val="28"/>
          <w:u w:val="single"/>
          <w:lang w:val="en-US"/>
        </w:rPr>
        <w:t xml:space="preserve"> CLASIFICATE</w:t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szCs w:val="28"/>
          <w:u w:val="single"/>
          <w:lang w:val="en-US"/>
        </w:rPr>
      </w:pPr>
      <w:r w:rsidRPr="00380E58">
        <w:rPr>
          <w:rFonts w:eastAsia="Times New Roman"/>
          <w:b/>
          <w:bCs/>
          <w:szCs w:val="28"/>
          <w:u w:val="single"/>
          <w:lang w:val="en-US"/>
        </w:rPr>
        <w:t>TEMATICĂ:</w:t>
      </w:r>
    </w:p>
    <w:p w:rsidR="00FE5C8C" w:rsidRPr="00380E58" w:rsidRDefault="00FE5C8C" w:rsidP="00FE5C8C">
      <w:pPr>
        <w:spacing w:line="276" w:lineRule="auto"/>
        <w:rPr>
          <w:rFonts w:eastAsia="Times New Roman"/>
          <w:bCs/>
          <w:szCs w:val="28"/>
          <w:lang w:val="en-US"/>
        </w:rPr>
      </w:pPr>
      <w:r w:rsidRPr="00380E58">
        <w:rPr>
          <w:rFonts w:eastAsia="Times New Roman"/>
          <w:bCs/>
          <w:szCs w:val="28"/>
          <w:lang w:val="en-US"/>
        </w:rPr>
        <w:t xml:space="preserve">- </w:t>
      </w:r>
      <w:proofErr w:type="spellStart"/>
      <w:r w:rsidRPr="00380E58">
        <w:rPr>
          <w:rFonts w:eastAsia="Times New Roman"/>
          <w:bCs/>
          <w:szCs w:val="28"/>
          <w:lang w:val="en-US"/>
        </w:rPr>
        <w:t>Informații</w:t>
      </w:r>
      <w:proofErr w:type="spellEnd"/>
      <w:r w:rsidRPr="00380E58">
        <w:rPr>
          <w:rFonts w:eastAsia="Times New Roman"/>
          <w:bCs/>
          <w:szCs w:val="28"/>
          <w:lang w:val="en-US"/>
        </w:rPr>
        <w:t xml:space="preserve"> secrete de </w:t>
      </w:r>
      <w:proofErr w:type="spellStart"/>
      <w:r w:rsidRPr="00380E58">
        <w:rPr>
          <w:rFonts w:eastAsia="Times New Roman"/>
          <w:bCs/>
          <w:szCs w:val="28"/>
          <w:lang w:val="en-US"/>
        </w:rPr>
        <w:t>serviciu</w:t>
      </w:r>
      <w:proofErr w:type="spellEnd"/>
      <w:r w:rsidRPr="00380E58">
        <w:rPr>
          <w:rFonts w:eastAsia="Times New Roman"/>
          <w:bCs/>
          <w:szCs w:val="28"/>
          <w:lang w:val="en-US"/>
        </w:rPr>
        <w:t>;</w:t>
      </w:r>
    </w:p>
    <w:p w:rsidR="00FE5C8C" w:rsidRPr="00380E58" w:rsidRDefault="00FE5C8C" w:rsidP="00FE5C8C">
      <w:pPr>
        <w:numPr>
          <w:ilvl w:val="0"/>
          <w:numId w:val="8"/>
        </w:numPr>
        <w:spacing w:line="276" w:lineRule="auto"/>
        <w:rPr>
          <w:rFonts w:eastAsia="Times New Roman"/>
          <w:bCs/>
          <w:szCs w:val="28"/>
        </w:rPr>
      </w:pPr>
      <w:r w:rsidRPr="00380E58">
        <w:rPr>
          <w:rFonts w:eastAsia="Times New Roman"/>
          <w:bCs/>
          <w:szCs w:val="28"/>
        </w:rPr>
        <w:t>Clasificarea informațiilor;</w:t>
      </w:r>
    </w:p>
    <w:p w:rsidR="00FE5C8C" w:rsidRPr="00380E58" w:rsidRDefault="00FE5C8C" w:rsidP="00FE5C8C">
      <w:pPr>
        <w:numPr>
          <w:ilvl w:val="0"/>
          <w:numId w:val="8"/>
        </w:numPr>
        <w:spacing w:line="276" w:lineRule="auto"/>
        <w:rPr>
          <w:rFonts w:eastAsia="Times New Roman"/>
          <w:bCs/>
          <w:szCs w:val="28"/>
        </w:rPr>
      </w:pPr>
      <w:r w:rsidRPr="00380E58">
        <w:rPr>
          <w:rFonts w:eastAsia="Times New Roman"/>
          <w:bCs/>
          <w:szCs w:val="28"/>
        </w:rPr>
        <w:t>Accesul la informații clasificate;</w:t>
      </w:r>
    </w:p>
    <w:p w:rsidR="00FE5C8C" w:rsidRPr="00380E58" w:rsidRDefault="00FE5C8C" w:rsidP="00FE5C8C">
      <w:pPr>
        <w:numPr>
          <w:ilvl w:val="0"/>
          <w:numId w:val="8"/>
        </w:numPr>
        <w:spacing w:line="276" w:lineRule="auto"/>
        <w:rPr>
          <w:rFonts w:eastAsia="Times New Roman"/>
          <w:bCs/>
          <w:szCs w:val="28"/>
        </w:rPr>
      </w:pPr>
      <w:r w:rsidRPr="00380E58">
        <w:rPr>
          <w:rFonts w:eastAsia="Times New Roman"/>
          <w:bCs/>
          <w:szCs w:val="28"/>
        </w:rPr>
        <w:t>Reguli generale privind evidența, întocmirea, păstrarea, procesarea, multiplicarea, manipularea, transportul, transmiterea și distrugerea informațiilor clasificate.</w:t>
      </w:r>
    </w:p>
    <w:p w:rsidR="00FE5C8C" w:rsidRPr="00380E58" w:rsidRDefault="00FE5C8C" w:rsidP="00FE5C8C">
      <w:pPr>
        <w:spacing w:line="276" w:lineRule="auto"/>
        <w:rPr>
          <w:rFonts w:eastAsia="Times New Roman"/>
          <w:b/>
          <w:bCs/>
          <w:iCs/>
          <w:szCs w:val="28"/>
          <w:u w:val="single"/>
        </w:rPr>
      </w:pPr>
      <w:r w:rsidRPr="00380E58">
        <w:rPr>
          <w:rFonts w:eastAsia="Times New Roman"/>
          <w:b/>
          <w:bCs/>
          <w:iCs/>
          <w:szCs w:val="28"/>
          <w:u w:val="single"/>
        </w:rPr>
        <w:t>BIBLIOGRAFIE:</w:t>
      </w:r>
    </w:p>
    <w:p w:rsidR="00FE5C8C" w:rsidRPr="00380E58" w:rsidRDefault="00FE5C8C" w:rsidP="00FE5C8C">
      <w:pPr>
        <w:numPr>
          <w:ilvl w:val="0"/>
          <w:numId w:val="2"/>
        </w:numPr>
        <w:spacing w:line="276" w:lineRule="auto"/>
        <w:rPr>
          <w:rFonts w:eastAsia="Times New Roman"/>
          <w:bCs/>
          <w:szCs w:val="28"/>
          <w:lang w:val="it-IT"/>
        </w:rPr>
      </w:pPr>
      <w:r w:rsidRPr="00380E58">
        <w:rPr>
          <w:rFonts w:eastAsia="Times New Roman"/>
          <w:bCs/>
          <w:szCs w:val="28"/>
          <w:lang w:val="it-IT"/>
        </w:rPr>
        <w:t>Legea nr. 182/12.04.2002 privind protecția informațiilor clasificate;</w:t>
      </w:r>
    </w:p>
    <w:p w:rsidR="00FE5C8C" w:rsidRPr="00380E58" w:rsidRDefault="00FE5C8C" w:rsidP="00FE5C8C">
      <w:pPr>
        <w:numPr>
          <w:ilvl w:val="0"/>
          <w:numId w:val="2"/>
        </w:numPr>
        <w:spacing w:line="276" w:lineRule="auto"/>
        <w:rPr>
          <w:rFonts w:eastAsia="Times New Roman"/>
          <w:bCs/>
          <w:szCs w:val="28"/>
          <w:lang w:val="it-IT"/>
        </w:rPr>
      </w:pPr>
      <w:r w:rsidRPr="00380E58">
        <w:rPr>
          <w:rFonts w:eastAsia="Times New Roman"/>
          <w:bCs/>
          <w:szCs w:val="28"/>
          <w:lang w:val="it-IT"/>
        </w:rPr>
        <w:t>HG nr. 781/25.07.2002 privind protecția informațiilor secret de serviciu;</w:t>
      </w:r>
    </w:p>
    <w:p w:rsidR="00FE5C8C" w:rsidRPr="00380E58" w:rsidRDefault="00FE5C8C" w:rsidP="00FE5C8C">
      <w:pPr>
        <w:numPr>
          <w:ilvl w:val="0"/>
          <w:numId w:val="2"/>
        </w:numPr>
        <w:spacing w:line="276" w:lineRule="auto"/>
        <w:rPr>
          <w:rFonts w:eastAsia="Times New Roman"/>
          <w:bCs/>
          <w:szCs w:val="28"/>
          <w:lang w:val="it-IT"/>
        </w:rPr>
      </w:pPr>
      <w:r w:rsidRPr="00380E58">
        <w:rPr>
          <w:rFonts w:eastAsia="Times New Roman"/>
          <w:bCs/>
          <w:szCs w:val="28"/>
          <w:lang w:val="it-IT"/>
        </w:rPr>
        <w:t>HG nr. 585/2002 pentru aprobarea standardelor naționale de protecție a informațiilor clasificate în România.</w:t>
      </w:r>
    </w:p>
    <w:p w:rsidR="00FE5C8C" w:rsidRPr="00F7258C" w:rsidRDefault="00FE5C8C" w:rsidP="00FE5C8C">
      <w:pPr>
        <w:spacing w:line="276" w:lineRule="auto"/>
        <w:rPr>
          <w:rFonts w:eastAsia="Times New Roman"/>
          <w:szCs w:val="28"/>
        </w:rPr>
      </w:pPr>
    </w:p>
    <w:p w:rsidR="00FE5C8C" w:rsidRPr="00F7258C" w:rsidRDefault="00FE5C8C" w:rsidP="00FE5C8C">
      <w:pPr>
        <w:tabs>
          <w:tab w:val="left" w:pos="709"/>
        </w:tabs>
        <w:spacing w:line="276" w:lineRule="auto"/>
        <w:ind w:hanging="284"/>
        <w:jc w:val="both"/>
        <w:rPr>
          <w:b/>
        </w:rPr>
      </w:pPr>
      <w:r w:rsidRPr="00F7258C">
        <w:rPr>
          <w:rFonts w:eastAsia="Times New Roman"/>
          <w:szCs w:val="28"/>
        </w:rPr>
        <w:tab/>
      </w:r>
      <w:r w:rsidRPr="00F7258C">
        <w:rPr>
          <w:rFonts w:eastAsia="Times New Roman"/>
        </w:rPr>
        <w:t xml:space="preserve">*Notă </w:t>
      </w:r>
      <w:r w:rsidRPr="00F7258C">
        <w:rPr>
          <w:rFonts w:eastAsia="Times New Roman"/>
          <w:lang w:val="en-US"/>
        </w:rPr>
        <w:t xml:space="preserve">: </w:t>
      </w:r>
      <w:r w:rsidRPr="00F7258C">
        <w:rPr>
          <w:b/>
          <w:i/>
        </w:rPr>
        <w:t>Candidații vor studia actele normative stabilite în bibliografie cu toate modificările și completările avute la data publicării prezentului anunț.</w:t>
      </w:r>
      <w:r w:rsidRPr="00F7258C">
        <w:rPr>
          <w:b/>
        </w:rPr>
        <w:t xml:space="preserve">      </w:t>
      </w:r>
    </w:p>
    <w:p w:rsidR="00FE5C8C" w:rsidRPr="00F7258C" w:rsidRDefault="00FE5C8C" w:rsidP="00AD6C5F">
      <w:pPr>
        <w:spacing w:line="276" w:lineRule="auto"/>
        <w:ind w:firstLine="567"/>
        <w:jc w:val="both"/>
      </w:pPr>
      <w:r>
        <w:rPr>
          <w:b/>
          <w:i/>
        </w:rPr>
        <w:t xml:space="preserve">    </w:t>
      </w:r>
      <w:r w:rsidRPr="00F7258C">
        <w:rPr>
          <w:b/>
          <w:i/>
        </w:rPr>
        <w:t>Actele normative menționate în bibliografie și pentru care nu sunt specificate capitol sau titluri, vor fi studiate în totalitate.</w:t>
      </w:r>
    </w:p>
    <w:tbl>
      <w:tblPr>
        <w:tblpPr w:leftFromText="180" w:rightFromText="180" w:vertAnchor="text" w:horzAnchor="margin" w:tblpXSpec="center" w:tblpY="8"/>
        <w:tblW w:w="6263" w:type="dxa"/>
        <w:tblLook w:val="01E0" w:firstRow="1" w:lastRow="1" w:firstColumn="1" w:lastColumn="1" w:noHBand="0" w:noVBand="0"/>
      </w:tblPr>
      <w:tblGrid>
        <w:gridCol w:w="6025"/>
        <w:gridCol w:w="238"/>
      </w:tblGrid>
      <w:tr w:rsidR="00FE5C8C" w:rsidRPr="00FE5C8C" w:rsidTr="008F1A03">
        <w:trPr>
          <w:trHeight w:val="2395"/>
        </w:trPr>
        <w:tc>
          <w:tcPr>
            <w:tcW w:w="6025" w:type="dxa"/>
          </w:tcPr>
          <w:p w:rsidR="00FE5C8C" w:rsidRPr="00FE5C8C" w:rsidRDefault="00FE5C8C" w:rsidP="00FE5C8C">
            <w:pPr>
              <w:keepNext/>
              <w:spacing w:before="240" w:after="60"/>
              <w:jc w:val="center"/>
              <w:outlineLvl w:val="0"/>
              <w:rPr>
                <w:rFonts w:eastAsia="Times New Roman"/>
                <w:b/>
                <w:bCs/>
                <w:color w:val="0D0D0D"/>
                <w:kern w:val="32"/>
                <w:sz w:val="28"/>
                <w:szCs w:val="26"/>
                <w:u w:val="single"/>
              </w:rPr>
            </w:pPr>
            <w:r w:rsidRPr="00FE5C8C">
              <w:rPr>
                <w:rFonts w:eastAsia="Times New Roman"/>
                <w:b/>
                <w:bCs/>
                <w:color w:val="0D0D0D"/>
                <w:kern w:val="32"/>
                <w:sz w:val="28"/>
                <w:szCs w:val="26"/>
                <w:u w:val="single"/>
              </w:rPr>
              <w:t>AVIZAT</w:t>
            </w:r>
          </w:p>
          <w:p w:rsidR="00FE5C8C" w:rsidRPr="00FE5C8C" w:rsidRDefault="00FE5C8C" w:rsidP="00FE5C8C">
            <w:pPr>
              <w:keepNext/>
              <w:spacing w:before="240" w:after="60"/>
              <w:jc w:val="center"/>
              <w:outlineLvl w:val="0"/>
              <w:rPr>
                <w:rFonts w:eastAsia="Times New Roman"/>
                <w:b/>
                <w:bCs/>
                <w:color w:val="0D0D0D"/>
                <w:kern w:val="32"/>
                <w:sz w:val="28"/>
                <w:szCs w:val="26"/>
                <w:u w:val="single"/>
              </w:rPr>
            </w:pPr>
            <w:r w:rsidRPr="00FE5C8C">
              <w:rPr>
                <w:rFonts w:eastAsia="Times New Roman"/>
                <w:b/>
                <w:bCs/>
                <w:color w:val="0D0D0D"/>
                <w:kern w:val="32"/>
                <w:sz w:val="28"/>
                <w:szCs w:val="26"/>
                <w:u w:val="single"/>
              </w:rPr>
              <w:t>Membri comisiei de concurs</w:t>
            </w:r>
          </w:p>
          <w:p w:rsidR="00FE5C8C" w:rsidRPr="00FE5C8C" w:rsidRDefault="00FE5C8C" w:rsidP="00FE5C8C">
            <w:pPr>
              <w:spacing w:before="120"/>
              <w:jc w:val="center"/>
              <w:rPr>
                <w:sz w:val="28"/>
                <w:szCs w:val="26"/>
              </w:rPr>
            </w:pPr>
          </w:p>
        </w:tc>
        <w:tc>
          <w:tcPr>
            <w:tcW w:w="238" w:type="dxa"/>
          </w:tcPr>
          <w:p w:rsidR="00FE5C8C" w:rsidRPr="00FE5C8C" w:rsidRDefault="00FE5C8C" w:rsidP="00FE5C8C">
            <w:pPr>
              <w:jc w:val="center"/>
              <w:rPr>
                <w:b/>
                <w:color w:val="0D0D0D"/>
                <w:sz w:val="28"/>
                <w:szCs w:val="26"/>
              </w:rPr>
            </w:pPr>
          </w:p>
          <w:p w:rsidR="00FE5C8C" w:rsidRPr="00FE5C8C" w:rsidRDefault="00FE5C8C" w:rsidP="00FE5C8C">
            <w:pPr>
              <w:jc w:val="center"/>
              <w:rPr>
                <w:sz w:val="28"/>
                <w:szCs w:val="26"/>
              </w:rPr>
            </w:pPr>
          </w:p>
        </w:tc>
      </w:tr>
    </w:tbl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tabs>
          <w:tab w:val="left" w:pos="270"/>
        </w:tabs>
        <w:ind w:left="-142" w:right="-234"/>
        <w:jc w:val="center"/>
        <w:rPr>
          <w:lang w:eastAsia="x-none"/>
        </w:rPr>
      </w:pPr>
    </w:p>
    <w:p w:rsidR="00FE5C8C" w:rsidRPr="00FE5C8C" w:rsidRDefault="00FE5C8C" w:rsidP="00FE5C8C">
      <w:pPr>
        <w:jc w:val="center"/>
        <w:rPr>
          <w:b/>
          <w:color w:val="0D0D0D"/>
          <w:sz w:val="28"/>
          <w:szCs w:val="26"/>
        </w:rPr>
      </w:pPr>
      <w:r w:rsidRPr="00FE5C8C">
        <w:rPr>
          <w:b/>
          <w:color w:val="0D0D0D"/>
          <w:sz w:val="28"/>
          <w:szCs w:val="26"/>
        </w:rPr>
        <w:t>Întocmit:</w:t>
      </w:r>
    </w:p>
    <w:p w:rsidR="00FE5C8C" w:rsidRPr="00FE5C8C" w:rsidRDefault="00FE5C8C" w:rsidP="00FE5C8C">
      <w:pPr>
        <w:jc w:val="center"/>
        <w:rPr>
          <w:b/>
          <w:color w:val="0D0D0D"/>
          <w:sz w:val="28"/>
          <w:szCs w:val="26"/>
        </w:rPr>
      </w:pPr>
      <w:r w:rsidRPr="00FE5C8C">
        <w:rPr>
          <w:b/>
          <w:color w:val="0D0D0D"/>
          <w:sz w:val="28"/>
          <w:szCs w:val="26"/>
        </w:rPr>
        <w:t>Secretarul comisiei de concurs</w:t>
      </w:r>
      <w:bookmarkStart w:id="0" w:name="_GoBack"/>
      <w:bookmarkEnd w:id="0"/>
    </w:p>
    <w:sectPr w:rsidR="00FE5C8C" w:rsidRPr="00FE5C8C" w:rsidSect="00AD6C5F">
      <w:pgSz w:w="12240" w:h="15840"/>
      <w:pgMar w:top="284" w:right="758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490"/>
    <w:multiLevelType w:val="hybridMultilevel"/>
    <w:tmpl w:val="8CC4C6AE"/>
    <w:lvl w:ilvl="0" w:tplc="171285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01A"/>
    <w:multiLevelType w:val="hybridMultilevel"/>
    <w:tmpl w:val="C5DC3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455823"/>
    <w:multiLevelType w:val="hybridMultilevel"/>
    <w:tmpl w:val="BBD67776"/>
    <w:lvl w:ilvl="0" w:tplc="4C747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7029B"/>
    <w:multiLevelType w:val="hybridMultilevel"/>
    <w:tmpl w:val="CCAA3CB4"/>
    <w:lvl w:ilvl="0" w:tplc="1BF840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0F38C4"/>
    <w:multiLevelType w:val="multilevel"/>
    <w:tmpl w:val="12AE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8D5E10"/>
    <w:multiLevelType w:val="hybridMultilevel"/>
    <w:tmpl w:val="87A0AD88"/>
    <w:lvl w:ilvl="0" w:tplc="B6CAE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E33FA"/>
    <w:multiLevelType w:val="hybridMultilevel"/>
    <w:tmpl w:val="B86CB922"/>
    <w:lvl w:ilvl="0" w:tplc="FBF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F5BFB"/>
    <w:multiLevelType w:val="multilevel"/>
    <w:tmpl w:val="FBC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14"/>
    <w:rsid w:val="000B3A8D"/>
    <w:rsid w:val="005A1035"/>
    <w:rsid w:val="00613D31"/>
    <w:rsid w:val="008016BB"/>
    <w:rsid w:val="008305D3"/>
    <w:rsid w:val="008540EB"/>
    <w:rsid w:val="008C2714"/>
    <w:rsid w:val="00AD6C5F"/>
    <w:rsid w:val="00D3456E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C3A48-9741-4540-8414-2FA5F704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C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5C8C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FE5C8C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5C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5C8C"/>
    <w:rPr>
      <w:rFonts w:ascii="Times New Roman" w:eastAsia="SimSun" w:hAnsi="Times New Roman" w:cs="Times New Roman"/>
      <w:sz w:val="16"/>
      <w:szCs w:val="16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8C"/>
    <w:rPr>
      <w:rFonts w:ascii="Segoe UI" w:eastAsia="SimSun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5A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cocor marian CL</cp:lastModifiedBy>
  <cp:revision>2</cp:revision>
  <cp:lastPrinted>2022-09-29T13:43:00Z</cp:lastPrinted>
  <dcterms:created xsi:type="dcterms:W3CDTF">2022-09-30T11:43:00Z</dcterms:created>
  <dcterms:modified xsi:type="dcterms:W3CDTF">2022-09-30T11:43:00Z</dcterms:modified>
</cp:coreProperties>
</file>